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ACC84" w14:textId="77777777" w:rsidR="005D255C" w:rsidRDefault="005D255C" w:rsidP="005D255C">
      <w:pPr>
        <w:rPr>
          <w:color w:val="000000"/>
        </w:rPr>
      </w:pPr>
      <w:bookmarkStart w:id="0" w:name="_Ref140035986"/>
      <w:bookmarkEnd w:id="0"/>
    </w:p>
    <w:p w14:paraId="5D74C0B6" w14:textId="77777777" w:rsidR="005D255C" w:rsidRDefault="005D255C" w:rsidP="005D255C"/>
    <w:p w14:paraId="6312015F" w14:textId="77777777" w:rsidR="005D255C" w:rsidRDefault="005D255C" w:rsidP="005D255C">
      <w:pPr>
        <w:pStyle w:val="Title"/>
      </w:pPr>
    </w:p>
    <w:p w14:paraId="44CB91FF" w14:textId="77777777" w:rsidR="005D255C" w:rsidRDefault="005D255C" w:rsidP="005D255C">
      <w:pPr>
        <w:pStyle w:val="Title"/>
      </w:pPr>
    </w:p>
    <w:p w14:paraId="50ACC079" w14:textId="77777777" w:rsidR="005D255C" w:rsidRDefault="005D255C" w:rsidP="00482FC7">
      <w:pPr>
        <w:pStyle w:val="Title"/>
        <w:jc w:val="right"/>
      </w:pPr>
      <w:r w:rsidRPr="009E6F5A">
        <w:rPr>
          <w:b w:val="0"/>
          <w:noProof/>
          <w:color w:val="002060"/>
          <w:sz w:val="96"/>
          <w:szCs w:val="108"/>
          <w:lang w:val="en-US"/>
        </w:rPr>
        <w:drawing>
          <wp:anchor distT="0" distB="0" distL="114300" distR="114300" simplePos="0" relativeHeight="251661312" behindDoc="1" locked="0" layoutInCell="1" allowOverlap="1" wp14:anchorId="3E669C85" wp14:editId="018F6BEB">
            <wp:simplePos x="0" y="0"/>
            <wp:positionH relativeFrom="page">
              <wp:align>right</wp:align>
            </wp:positionH>
            <wp:positionV relativeFrom="page">
              <wp:align>top</wp:align>
            </wp:positionV>
            <wp:extent cx="2199600" cy="222120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log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9600" cy="2221200"/>
                    </a:xfrm>
                    <a:prstGeom prst="rect">
                      <a:avLst/>
                    </a:prstGeom>
                  </pic:spPr>
                </pic:pic>
              </a:graphicData>
            </a:graphic>
          </wp:anchor>
        </w:drawing>
      </w:r>
      <w:r w:rsidRPr="005D255C">
        <w:rPr>
          <w:b w:val="0"/>
          <w:color w:val="002060"/>
          <w:sz w:val="96"/>
          <w:szCs w:val="108"/>
        </w:rPr>
        <w:t>Remuneration &amp; Nomination Committee Charter</w:t>
      </w:r>
    </w:p>
    <w:p w14:paraId="0E60BDD3" w14:textId="77777777" w:rsidR="005D255C" w:rsidRDefault="005D255C" w:rsidP="005D255C">
      <w:pPr>
        <w:pStyle w:val="CoverDetails"/>
      </w:pPr>
    </w:p>
    <w:p w14:paraId="305EEF4A" w14:textId="77777777" w:rsidR="005D255C" w:rsidRDefault="005D255C" w:rsidP="005D255C">
      <w:pPr>
        <w:spacing w:after="200" w:line="276" w:lineRule="auto"/>
        <w:jc w:val="right"/>
      </w:pPr>
    </w:p>
    <w:p w14:paraId="450EC718" w14:textId="77777777" w:rsidR="005D255C" w:rsidRDefault="005D255C" w:rsidP="005D255C">
      <w:pPr>
        <w:spacing w:after="200" w:line="276" w:lineRule="auto"/>
        <w:jc w:val="right"/>
      </w:pPr>
      <w:r>
        <w:rPr>
          <w:noProof/>
          <w:lang w:val="en-US"/>
        </w:rPr>
        <w:drawing>
          <wp:anchor distT="0" distB="0" distL="114300" distR="114300" simplePos="0" relativeHeight="251662336" behindDoc="0" locked="0" layoutInCell="1" allowOverlap="1" wp14:anchorId="762BC26D" wp14:editId="07CEC850">
            <wp:simplePos x="0" y="0"/>
            <wp:positionH relativeFrom="page">
              <wp:align>right</wp:align>
            </wp:positionH>
            <wp:positionV relativeFrom="page">
              <wp:posOffset>5624195</wp:posOffset>
            </wp:positionV>
            <wp:extent cx="7596000" cy="5077919"/>
            <wp:effectExtent l="0" t="0" r="5080" b="8890"/>
            <wp:wrapNone/>
            <wp:docPr id="17" name="Picture 1" descr="Cover graphic_Blu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graphic_Blue-01.jpg"/>
                    <pic:cNvPicPr/>
                  </pic:nvPicPr>
                  <pic:blipFill>
                    <a:blip r:embed="rId9"/>
                    <a:stretch>
                      <a:fillRect/>
                    </a:stretch>
                  </pic:blipFill>
                  <pic:spPr>
                    <a:xfrm>
                      <a:off x="0" y="0"/>
                      <a:ext cx="7596000" cy="5077919"/>
                    </a:xfrm>
                    <a:prstGeom prst="rect">
                      <a:avLst/>
                    </a:prstGeom>
                  </pic:spPr>
                </pic:pic>
              </a:graphicData>
            </a:graphic>
          </wp:anchor>
        </w:drawing>
      </w:r>
    </w:p>
    <w:p w14:paraId="62F8BC0F" w14:textId="77777777" w:rsidR="005D255C" w:rsidRDefault="005D255C" w:rsidP="005D255C">
      <w:pPr>
        <w:spacing w:after="200" w:line="276" w:lineRule="auto"/>
      </w:pPr>
      <w:r>
        <w:br w:type="page"/>
      </w:r>
    </w:p>
    <w:p w14:paraId="7B536B34" w14:textId="421C14EA" w:rsidR="00566CD5" w:rsidRDefault="00AC47CA" w:rsidP="00566CD5">
      <w:pPr>
        <w:pStyle w:val="Title"/>
        <w:jc w:val="center"/>
      </w:pPr>
      <w:r w:rsidRPr="00AC47CA">
        <w:lastRenderedPageBreak/>
        <w:t xml:space="preserve">Remuneration </w:t>
      </w:r>
      <w:r w:rsidR="000D69AC">
        <w:t xml:space="preserve">&amp; </w:t>
      </w:r>
      <w:r w:rsidRPr="00AC47CA">
        <w:t>Nomination Committee Charter</w:t>
      </w:r>
      <w:r w:rsidR="005060DE">
        <w:t xml:space="preserve"> (the Charter)</w:t>
      </w:r>
    </w:p>
    <w:p w14:paraId="4A44AF56" w14:textId="1210F771" w:rsidR="00B3253D" w:rsidRPr="00474D93" w:rsidRDefault="002B420F" w:rsidP="00566CD5">
      <w:pPr>
        <w:pStyle w:val="Title"/>
        <w:jc w:val="center"/>
      </w:pPr>
      <w:r>
        <w:t>Bravura Solutions Limited</w:t>
      </w:r>
      <w:r w:rsidR="00474D93">
        <w:t xml:space="preserve"> </w:t>
      </w:r>
      <w:r w:rsidR="00566CD5">
        <w:t xml:space="preserve">and its subsidiaries </w:t>
      </w:r>
      <w:r w:rsidR="00474D93">
        <w:t>(</w:t>
      </w:r>
      <w:r w:rsidR="00566CD5">
        <w:t xml:space="preserve">the </w:t>
      </w:r>
      <w:r w:rsidR="00474D93">
        <w:t>Company)</w:t>
      </w:r>
    </w:p>
    <w:p w14:paraId="4807636A" w14:textId="77777777" w:rsidR="00CB349A" w:rsidRDefault="00474D93" w:rsidP="00CB349A">
      <w:pPr>
        <w:pStyle w:val="Heading1"/>
      </w:pPr>
      <w:bookmarkStart w:id="1" w:name="_Toc384722960"/>
      <w:bookmarkStart w:id="2" w:name="_Toc384890166"/>
      <w:r>
        <w:t>Introduction</w:t>
      </w:r>
      <w:bookmarkEnd w:id="1"/>
      <w:bookmarkEnd w:id="2"/>
    </w:p>
    <w:p w14:paraId="5E7DA5EF" w14:textId="77777777" w:rsidR="00474D93" w:rsidRDefault="00474D93" w:rsidP="00474D93">
      <w:pPr>
        <w:pStyle w:val="Heading2"/>
      </w:pPr>
      <w:bookmarkStart w:id="3" w:name="_Toc384722961"/>
      <w:bookmarkStart w:id="4" w:name="_Toc384890167"/>
      <w:r>
        <w:t>Purpose of Charter</w:t>
      </w:r>
      <w:bookmarkEnd w:id="3"/>
      <w:bookmarkEnd w:id="4"/>
    </w:p>
    <w:p w14:paraId="1553A628" w14:textId="4928ADE4" w:rsidR="00A72673" w:rsidRDefault="000727FB" w:rsidP="00A72673">
      <w:pPr>
        <w:pStyle w:val="IndentParaLevel1"/>
      </w:pPr>
      <w:r w:rsidRPr="000727FB">
        <w:t xml:space="preserve">This is the Charter of the Remuneration </w:t>
      </w:r>
      <w:r w:rsidR="000D69AC">
        <w:t xml:space="preserve">&amp; </w:t>
      </w:r>
      <w:r w:rsidRPr="000727FB">
        <w:t xml:space="preserve">Nomination Committee established by the </w:t>
      </w:r>
      <w:r w:rsidR="005060DE">
        <w:t>b</w:t>
      </w:r>
      <w:r w:rsidRPr="000727FB">
        <w:t xml:space="preserve">oard of </w:t>
      </w:r>
      <w:r w:rsidR="005060DE">
        <w:t xml:space="preserve">directors of </w:t>
      </w:r>
      <w:r w:rsidRPr="000727FB">
        <w:t>the Company</w:t>
      </w:r>
      <w:r w:rsidR="00742395">
        <w:t xml:space="preserve"> (the </w:t>
      </w:r>
      <w:r w:rsidR="00742395" w:rsidRPr="009B6E06">
        <w:rPr>
          <w:b/>
          <w:bCs/>
        </w:rPr>
        <w:t>Directors</w:t>
      </w:r>
      <w:r w:rsidR="00742395">
        <w:t>)</w:t>
      </w:r>
      <w:r w:rsidRPr="000727FB">
        <w:t xml:space="preserve">.  The Charter governs the operations of the Remuneration </w:t>
      </w:r>
      <w:r w:rsidR="000D69AC">
        <w:t xml:space="preserve">&amp; </w:t>
      </w:r>
      <w:r w:rsidRPr="000727FB">
        <w:t xml:space="preserve">Nomination Committee (the </w:t>
      </w:r>
      <w:r w:rsidRPr="000727FB">
        <w:rPr>
          <w:b/>
        </w:rPr>
        <w:t>Committee</w:t>
      </w:r>
      <w:r w:rsidRPr="000727FB">
        <w:t>).  It sets out the Committee's role and responsibilities, composition, structure and membership requirements.</w:t>
      </w:r>
    </w:p>
    <w:p w14:paraId="451A0853" w14:textId="77777777" w:rsidR="00A72673" w:rsidRDefault="00A72673" w:rsidP="00A72673">
      <w:pPr>
        <w:pStyle w:val="Heading2"/>
      </w:pPr>
      <w:bookmarkStart w:id="5" w:name="_Ref384729901"/>
      <w:bookmarkStart w:id="6" w:name="_Toc384890168"/>
      <w:r>
        <w:t>Role of Committee</w:t>
      </w:r>
      <w:bookmarkEnd w:id="5"/>
      <w:bookmarkEnd w:id="6"/>
    </w:p>
    <w:p w14:paraId="12BE300C" w14:textId="38A3F006" w:rsidR="00A72673" w:rsidRDefault="00E10805" w:rsidP="00A72673">
      <w:pPr>
        <w:pStyle w:val="IndentParaLevel1"/>
      </w:pPr>
      <w:r w:rsidRPr="00E10805">
        <w:t xml:space="preserve">The Committee is established by the </w:t>
      </w:r>
      <w:r w:rsidR="00742395">
        <w:t>b</w:t>
      </w:r>
      <w:r w:rsidRPr="00E10805">
        <w:t>oard of Directors</w:t>
      </w:r>
      <w:r w:rsidR="00742395">
        <w:t xml:space="preserve"> (the </w:t>
      </w:r>
      <w:r w:rsidR="00742395" w:rsidRPr="009B6E06">
        <w:rPr>
          <w:b/>
          <w:bCs/>
        </w:rPr>
        <w:t>Board</w:t>
      </w:r>
      <w:r w:rsidR="00742395">
        <w:t>)</w:t>
      </w:r>
      <w:r w:rsidRPr="00E10805">
        <w:t>.  The purpose of the Committee is to assist the Board by reviewing and making recommendations to the Board in relation to:</w:t>
      </w:r>
    </w:p>
    <w:p w14:paraId="2545F24F" w14:textId="77777777" w:rsidR="00A72673" w:rsidRDefault="00E10805" w:rsidP="00E10805">
      <w:pPr>
        <w:pStyle w:val="Heading3"/>
      </w:pPr>
      <w:r w:rsidRPr="00E10805">
        <w:t>the Company's remuneration policy, including as it applies to Directors and the process by which any pool of Directors' fees approved by shareholders is allocated to Directors;</w:t>
      </w:r>
    </w:p>
    <w:p w14:paraId="076D9226" w14:textId="77777777" w:rsidR="00A72673" w:rsidRDefault="00E10805" w:rsidP="00E10805">
      <w:pPr>
        <w:pStyle w:val="Heading3"/>
      </w:pPr>
      <w:r w:rsidRPr="00E10805">
        <w:t>Board succession issues and planning;</w:t>
      </w:r>
    </w:p>
    <w:p w14:paraId="118C804B" w14:textId="77777777" w:rsidR="00A72673" w:rsidRDefault="00E10805" w:rsidP="00E10805">
      <w:pPr>
        <w:pStyle w:val="Heading3"/>
      </w:pPr>
      <w:r w:rsidRPr="00E10805">
        <w:t>the appointment and re</w:t>
      </w:r>
      <w:r w:rsidR="00E810AC">
        <w:noBreakHyphen/>
      </w:r>
      <w:r w:rsidRPr="00E10805">
        <w:t>election of people as members of the Board and its committees;</w:t>
      </w:r>
    </w:p>
    <w:p w14:paraId="56227178" w14:textId="77777777" w:rsidR="00A72673" w:rsidRDefault="00E10805" w:rsidP="00E10805">
      <w:pPr>
        <w:pStyle w:val="Heading3"/>
      </w:pPr>
      <w:r w:rsidRPr="00E10805">
        <w:t>induction of people as Directors and continuing professional development programs for Directors;</w:t>
      </w:r>
    </w:p>
    <w:p w14:paraId="0267F997" w14:textId="77777777" w:rsidR="00A72673" w:rsidRDefault="00E10805" w:rsidP="00E10805">
      <w:pPr>
        <w:pStyle w:val="Heading3"/>
      </w:pPr>
      <w:r w:rsidRPr="00E10805">
        <w:t>remuneration packages of senior executives, non</w:t>
      </w:r>
      <w:r w:rsidR="00E810AC">
        <w:noBreakHyphen/>
      </w:r>
      <w:r w:rsidRPr="00E10805">
        <w:t>executive Directors and executive Directors, equity</w:t>
      </w:r>
      <w:r w:rsidR="00E810AC">
        <w:noBreakHyphen/>
      </w:r>
      <w:r w:rsidRPr="00E10805">
        <w:t>based incentive plans and other employee benefit programs;</w:t>
      </w:r>
    </w:p>
    <w:p w14:paraId="69DEC608" w14:textId="77777777" w:rsidR="00A72673" w:rsidRDefault="00E10805" w:rsidP="00E10805">
      <w:pPr>
        <w:pStyle w:val="Heading3"/>
      </w:pPr>
      <w:r w:rsidRPr="00E10805">
        <w:t>the Company's superannuation arrangements;</w:t>
      </w:r>
    </w:p>
    <w:p w14:paraId="2260193F" w14:textId="77777777" w:rsidR="00E10805" w:rsidRDefault="00E10805" w:rsidP="00E10805">
      <w:pPr>
        <w:pStyle w:val="Heading3"/>
      </w:pPr>
      <w:r>
        <w:t>the Company's recruitment, retention and termination policies;</w:t>
      </w:r>
    </w:p>
    <w:p w14:paraId="5BB5456D" w14:textId="77777777" w:rsidR="00E10805" w:rsidRDefault="00E10805" w:rsidP="00E10805">
      <w:pPr>
        <w:pStyle w:val="Heading3"/>
      </w:pPr>
      <w:r>
        <w:t>succession plans of the CEO, senior executives and executive Directors;</w:t>
      </w:r>
    </w:p>
    <w:p w14:paraId="543541A2" w14:textId="77777777" w:rsidR="00E10805" w:rsidRDefault="00E10805" w:rsidP="00E10805">
      <w:pPr>
        <w:pStyle w:val="Heading3"/>
      </w:pPr>
      <w:r>
        <w:t>the process for the evaluation of the performance of the Board, its Board Committees and individual Directors;</w:t>
      </w:r>
    </w:p>
    <w:p w14:paraId="1A23D84B" w14:textId="77777777" w:rsidR="00E10805" w:rsidRDefault="00E10805" w:rsidP="00E10805">
      <w:pPr>
        <w:pStyle w:val="Heading3"/>
      </w:pPr>
      <w:r>
        <w:t>the review of the performance of senior executives and members of the Board, which should take place at least annually;</w:t>
      </w:r>
    </w:p>
    <w:p w14:paraId="6C2D730F" w14:textId="77777777" w:rsidR="00E10805" w:rsidRDefault="00E10805" w:rsidP="00E10805">
      <w:pPr>
        <w:pStyle w:val="Heading3"/>
      </w:pPr>
      <w:r>
        <w:t>those aspects of the Company's remuneration policies and packages, including equity</w:t>
      </w:r>
      <w:r w:rsidR="00E810AC">
        <w:noBreakHyphen/>
      </w:r>
      <w:r>
        <w:t xml:space="preserve">based incentives, which should be subject to shareholder approval; </w:t>
      </w:r>
    </w:p>
    <w:p w14:paraId="26A40109" w14:textId="77777777" w:rsidR="00754DD4" w:rsidRDefault="00754DD4" w:rsidP="00E10805">
      <w:pPr>
        <w:pStyle w:val="Heading3"/>
      </w:pPr>
      <w:r>
        <w:t>the process for recruiting a new Director, including evaluating the balance of skills, knowledge, experience, independence and diversity on the Board and, in the light of this evaluation, preparing a description of the role and capabilities required for a particular appointment;</w:t>
      </w:r>
    </w:p>
    <w:p w14:paraId="7CC87009" w14:textId="77777777" w:rsidR="00754DD4" w:rsidRDefault="00754DD4" w:rsidP="00E10805">
      <w:pPr>
        <w:pStyle w:val="Heading3"/>
      </w:pPr>
      <w:r>
        <w:t>assessing the Board's 'skills matrix' and identifying any gaps in the collective skills of the Board that should be addressed as part of the Company's professional development initiatives for Directors; and</w:t>
      </w:r>
    </w:p>
    <w:p w14:paraId="307F0B32" w14:textId="77777777" w:rsidR="00E10805" w:rsidRDefault="00E10805" w:rsidP="00E10805">
      <w:pPr>
        <w:pStyle w:val="Heading3"/>
      </w:pPr>
      <w:r>
        <w:lastRenderedPageBreak/>
        <w:t>the size and composition of the Board and strategies to address Board diversity and the Company's performance in respect of the Company's Diversity Policy, including whether there is any gender or other inappropriate bias in remuneration for Directors, senior executives or other employees.</w:t>
      </w:r>
    </w:p>
    <w:p w14:paraId="14DD55CF" w14:textId="77777777" w:rsidR="00A72673" w:rsidRDefault="00A72673" w:rsidP="00A72673">
      <w:pPr>
        <w:pStyle w:val="Heading1"/>
      </w:pPr>
      <w:bookmarkStart w:id="7" w:name="_Toc384890169"/>
      <w:r>
        <w:t>Membership</w:t>
      </w:r>
      <w:bookmarkEnd w:id="7"/>
    </w:p>
    <w:p w14:paraId="0A31951C" w14:textId="77777777" w:rsidR="00A72673" w:rsidRDefault="00A72673" w:rsidP="00A72673">
      <w:pPr>
        <w:pStyle w:val="Heading2"/>
      </w:pPr>
      <w:bookmarkStart w:id="8" w:name="_Toc384890170"/>
      <w:r>
        <w:t xml:space="preserve">Composition of </w:t>
      </w:r>
      <w:r w:rsidR="00754DD4">
        <w:t>C</w:t>
      </w:r>
      <w:r>
        <w:t>ommittee</w:t>
      </w:r>
      <w:bookmarkEnd w:id="8"/>
    </w:p>
    <w:p w14:paraId="2B31FB69" w14:textId="77777777" w:rsidR="00A72673" w:rsidRDefault="00A72673" w:rsidP="00DF232D">
      <w:pPr>
        <w:pStyle w:val="IndentParaLevel1"/>
        <w:keepNext/>
      </w:pPr>
      <w:r>
        <w:t>The Committee will:</w:t>
      </w:r>
    </w:p>
    <w:p w14:paraId="3786B360" w14:textId="77777777" w:rsidR="00A72673" w:rsidRDefault="00A72673" w:rsidP="00A72673">
      <w:pPr>
        <w:pStyle w:val="Heading3"/>
      </w:pPr>
      <w:r>
        <w:t>comprise only of members of the Board of Directors (</w:t>
      </w:r>
      <w:r w:rsidRPr="009A5CC8">
        <w:rPr>
          <w:b/>
        </w:rPr>
        <w:t>Directors</w:t>
      </w:r>
      <w:r>
        <w:t xml:space="preserve">) and members will </w:t>
      </w:r>
      <w:r w:rsidR="00180070">
        <w:t xml:space="preserve">be </w:t>
      </w:r>
      <w:r>
        <w:t>appointed and removed by the Board;</w:t>
      </w:r>
    </w:p>
    <w:p w14:paraId="459C479C" w14:textId="77777777" w:rsidR="00A72673" w:rsidRDefault="00765F43" w:rsidP="00765F43">
      <w:pPr>
        <w:pStyle w:val="Heading3"/>
      </w:pPr>
      <w:r w:rsidRPr="00765F43">
        <w:t>be of sufficient size, independence and technical expertise to discharge its mandate effectively</w:t>
      </w:r>
      <w:r w:rsidR="00A72673">
        <w:t>;</w:t>
      </w:r>
    </w:p>
    <w:p w14:paraId="17740E6E" w14:textId="77777777" w:rsidR="00A72673" w:rsidRDefault="00A72673" w:rsidP="00DF232D">
      <w:pPr>
        <w:pStyle w:val="Heading3"/>
        <w:keepNext/>
      </w:pPr>
      <w:r>
        <w:t>consist of:</w:t>
      </w:r>
    </w:p>
    <w:p w14:paraId="5A5A54DF" w14:textId="77777777" w:rsidR="00A72673" w:rsidRDefault="00A72673" w:rsidP="00A72673">
      <w:pPr>
        <w:pStyle w:val="Heading4"/>
      </w:pPr>
      <w:r>
        <w:t>at least three members;</w:t>
      </w:r>
    </w:p>
    <w:p w14:paraId="5676D0B8" w14:textId="77777777" w:rsidR="00A72673" w:rsidRDefault="00A72673" w:rsidP="00A72673">
      <w:pPr>
        <w:pStyle w:val="Heading4"/>
      </w:pPr>
      <w:r>
        <w:t>only non</w:t>
      </w:r>
      <w:r w:rsidR="00E810AC">
        <w:noBreakHyphen/>
      </w:r>
      <w:r>
        <w:t>executive directors</w:t>
      </w:r>
      <w:r w:rsidR="00721F1B">
        <w:t>;</w:t>
      </w:r>
      <w:r w:rsidR="000F02CB" w:rsidRPr="00AA1F8C">
        <w:rPr>
          <w:rStyle w:val="FootnoteReference"/>
        </w:rPr>
        <w:footnoteReference w:id="1"/>
      </w:r>
    </w:p>
    <w:p w14:paraId="2731F74A" w14:textId="77777777" w:rsidR="00A72673" w:rsidRDefault="00A72673" w:rsidP="00A72673">
      <w:pPr>
        <w:pStyle w:val="Heading4"/>
      </w:pPr>
      <w:r>
        <w:t>a majority of independent</w:t>
      </w:r>
      <w:r w:rsidR="00A41693" w:rsidRPr="00AA1F8C">
        <w:rPr>
          <w:rStyle w:val="FootnoteReference"/>
        </w:rPr>
        <w:footnoteReference w:id="2"/>
      </w:r>
      <w:r>
        <w:t xml:space="preserve"> Directors (</w:t>
      </w:r>
      <w:r w:rsidRPr="00755019">
        <w:rPr>
          <w:b/>
        </w:rPr>
        <w:t>Independent Directors</w:t>
      </w:r>
      <w:r>
        <w:t>);</w:t>
      </w:r>
      <w:r w:rsidR="00605719">
        <w:t xml:space="preserve"> </w:t>
      </w:r>
    </w:p>
    <w:p w14:paraId="42E8A08F" w14:textId="77777777" w:rsidR="00A72673" w:rsidRDefault="00AD783A" w:rsidP="00A72673">
      <w:pPr>
        <w:pStyle w:val="Heading4"/>
      </w:pPr>
      <w:r>
        <w:t>an independent chair</w:t>
      </w:r>
      <w:r w:rsidR="00A72673">
        <w:t xml:space="preserve">, who will be nominated by the Board from time to time, but who will either be the </w:t>
      </w:r>
      <w:r w:rsidR="00605719">
        <w:t>C</w:t>
      </w:r>
      <w:r w:rsidR="00A72673">
        <w:t>hair of the Board or an Independent Director;</w:t>
      </w:r>
    </w:p>
    <w:p w14:paraId="71645D25" w14:textId="77777777" w:rsidR="00754DD4" w:rsidRDefault="00AD783A" w:rsidP="00A72673">
      <w:pPr>
        <w:pStyle w:val="Heading4"/>
      </w:pPr>
      <w:r>
        <w:t>if the Committee Chair is also the chair</w:t>
      </w:r>
      <w:r w:rsidR="00754DD4">
        <w:t xml:space="preserve"> to the Board, then a separat</w:t>
      </w:r>
      <w:r>
        <w:t>e Committee Chair</w:t>
      </w:r>
      <w:r w:rsidR="00754DD4">
        <w:t xml:space="preserve"> will be appointed to chair any discussions by the Committee involving succession plan</w:t>
      </w:r>
      <w:r>
        <w:t>ning for the role of chair</w:t>
      </w:r>
      <w:r w:rsidR="00754DD4">
        <w:t xml:space="preserve"> to the Board;</w:t>
      </w:r>
    </w:p>
    <w:p w14:paraId="3256546C" w14:textId="77777777" w:rsidR="00A72673" w:rsidRDefault="00A72673" w:rsidP="00A72673">
      <w:pPr>
        <w:pStyle w:val="Heading3"/>
      </w:pPr>
      <w:r>
        <w:t>include at least one member who has expertise in remuneration; and</w:t>
      </w:r>
    </w:p>
    <w:p w14:paraId="34F17001" w14:textId="77777777" w:rsidR="00A72673" w:rsidRDefault="00A72673" w:rsidP="00A72673">
      <w:pPr>
        <w:pStyle w:val="Heading3"/>
      </w:pPr>
      <w:r>
        <w:t>comprise members who will be appointed for a fixed period of no more than 3</w:t>
      </w:r>
      <w:r w:rsidR="00DF232D">
        <w:t> </w:t>
      </w:r>
      <w:r>
        <w:t>years, with Committee members generally being eligible for re</w:t>
      </w:r>
      <w:r w:rsidR="00E810AC">
        <w:noBreakHyphen/>
      </w:r>
      <w:r>
        <w:t>appointment for so long as they remain Independent Directors.</w:t>
      </w:r>
    </w:p>
    <w:p w14:paraId="2D6295C1" w14:textId="77777777" w:rsidR="00A72673" w:rsidRDefault="00A72673" w:rsidP="00EA1B19">
      <w:pPr>
        <w:pStyle w:val="Heading2"/>
      </w:pPr>
      <w:bookmarkStart w:id="9" w:name="_Toc384890171"/>
      <w:r>
        <w:t xml:space="preserve">Ceasing to be a member of the </w:t>
      </w:r>
      <w:r w:rsidR="00754DD4">
        <w:t>C</w:t>
      </w:r>
      <w:r>
        <w:t>ommittee</w:t>
      </w:r>
      <w:bookmarkEnd w:id="9"/>
    </w:p>
    <w:p w14:paraId="3A17DA37" w14:textId="77777777" w:rsidR="00A72673" w:rsidRDefault="00A72673" w:rsidP="00DF232D">
      <w:pPr>
        <w:pStyle w:val="IndentParaLevel1"/>
        <w:keepNext/>
      </w:pPr>
      <w:r>
        <w:t>A person will cease to be a member of the Committee if:</w:t>
      </w:r>
    </w:p>
    <w:p w14:paraId="401B464C" w14:textId="77777777" w:rsidR="00A72673" w:rsidRDefault="00A72673" w:rsidP="00EA1B19">
      <w:pPr>
        <w:pStyle w:val="Heading3"/>
      </w:pPr>
      <w:r>
        <w:t>the person gives reasonable notice in writ</w:t>
      </w:r>
      <w:r w:rsidR="00765F43">
        <w:t>ing to the Committee Chair</w:t>
      </w:r>
      <w:r>
        <w:t xml:space="preserve"> of the person's resignation as a member of the Committee;</w:t>
      </w:r>
    </w:p>
    <w:p w14:paraId="7164B509" w14:textId="77777777" w:rsidR="00A72673" w:rsidRDefault="00A72673" w:rsidP="00EA1B19">
      <w:pPr>
        <w:pStyle w:val="Heading3"/>
      </w:pPr>
      <w:r>
        <w:t>the Committee Chair gives the person notice in writing that the person is to cease to be a member of the Committee; or</w:t>
      </w:r>
    </w:p>
    <w:p w14:paraId="3F821BE5" w14:textId="77777777" w:rsidR="00A72673" w:rsidRDefault="00A72673" w:rsidP="00EA1B19">
      <w:pPr>
        <w:pStyle w:val="Heading3"/>
      </w:pPr>
      <w:r>
        <w:lastRenderedPageBreak/>
        <w:t>the person ceases to be a Director, in which case the person automatically ceases to be a member of the Committee.</w:t>
      </w:r>
    </w:p>
    <w:p w14:paraId="7D750351" w14:textId="77777777" w:rsidR="00A72673" w:rsidRDefault="00A72673" w:rsidP="00EA1B19">
      <w:pPr>
        <w:pStyle w:val="Heading2"/>
      </w:pPr>
      <w:bookmarkStart w:id="10" w:name="_Toc384890172"/>
      <w:r>
        <w:t xml:space="preserve">Initial members of </w:t>
      </w:r>
      <w:r w:rsidR="00754DD4">
        <w:t>C</w:t>
      </w:r>
      <w:r>
        <w:t>ommittee</w:t>
      </w:r>
      <w:bookmarkEnd w:id="10"/>
    </w:p>
    <w:p w14:paraId="0D0D468C" w14:textId="0E29FA08" w:rsidR="00A72673" w:rsidRDefault="00A72673" w:rsidP="00A72673">
      <w:pPr>
        <w:pStyle w:val="IndentParaLevel1"/>
      </w:pPr>
      <w:r>
        <w:t>Current</w:t>
      </w:r>
      <w:r w:rsidR="002B420F">
        <w:t xml:space="preserve"> members of the Committee are: Peter Mann</w:t>
      </w:r>
      <w:r w:rsidR="009A009F">
        <w:t xml:space="preserve"> (</w:t>
      </w:r>
      <w:r w:rsidR="003D74FB">
        <w:t xml:space="preserve">the </w:t>
      </w:r>
      <w:r w:rsidR="009A009F" w:rsidRPr="009B6E06">
        <w:rPr>
          <w:b/>
          <w:bCs/>
        </w:rPr>
        <w:t>Chair</w:t>
      </w:r>
      <w:r w:rsidR="009A009F">
        <w:t>)</w:t>
      </w:r>
      <w:r w:rsidR="002B420F">
        <w:t xml:space="preserve">, Neil </w:t>
      </w:r>
      <w:proofErr w:type="spellStart"/>
      <w:r w:rsidR="002B420F">
        <w:t>Broekhuizen</w:t>
      </w:r>
      <w:proofErr w:type="spellEnd"/>
      <w:r w:rsidR="002B420F">
        <w:t xml:space="preserve"> </w:t>
      </w:r>
      <w:r w:rsidR="003C4AC0">
        <w:t>and Alexa Henderson</w:t>
      </w:r>
      <w:r>
        <w:t>.</w:t>
      </w:r>
    </w:p>
    <w:p w14:paraId="51580FBF" w14:textId="77777777" w:rsidR="00A72673" w:rsidRDefault="00A72673" w:rsidP="00EA1B19">
      <w:pPr>
        <w:pStyle w:val="Heading2"/>
      </w:pPr>
      <w:bookmarkStart w:id="11" w:name="_Toc384890173"/>
      <w:r>
        <w:t>Secretary</w:t>
      </w:r>
      <w:bookmarkEnd w:id="11"/>
    </w:p>
    <w:p w14:paraId="3A60F6A4" w14:textId="1DF087C1" w:rsidR="00A72673" w:rsidRDefault="00A72673" w:rsidP="00EA1B19">
      <w:pPr>
        <w:pStyle w:val="Heading3"/>
      </w:pPr>
      <w:r>
        <w:t>The Committee will have a secretary, which is to be the Company Secretary or such other person as nominated by the Board (</w:t>
      </w:r>
      <w:r w:rsidR="00C61D67">
        <w:t xml:space="preserve">the </w:t>
      </w:r>
      <w:r w:rsidRPr="00164AB3">
        <w:rPr>
          <w:b/>
        </w:rPr>
        <w:t>Committee Secretary</w:t>
      </w:r>
      <w:r>
        <w:t>).</w:t>
      </w:r>
    </w:p>
    <w:p w14:paraId="34E2CCC4" w14:textId="77777777" w:rsidR="00A72673" w:rsidRDefault="00A72673" w:rsidP="00EA1B19">
      <w:pPr>
        <w:pStyle w:val="Heading3"/>
      </w:pPr>
      <w:r>
        <w:t>The Committee Secretary will attend all Committee meetings.</w:t>
      </w:r>
    </w:p>
    <w:p w14:paraId="7BD65736" w14:textId="77777777" w:rsidR="00A72673" w:rsidRDefault="00A72673" w:rsidP="00EA1B19">
      <w:pPr>
        <w:pStyle w:val="Heading3"/>
      </w:pPr>
      <w:r>
        <w:t xml:space="preserve">The Committee Secretary, </w:t>
      </w:r>
      <w:r w:rsidR="00765F43">
        <w:t>in conjunction with the Chair</w:t>
      </w:r>
      <w:r>
        <w:t xml:space="preserve"> of the Committee, must prepare an agenda to be circulated to each Committee member at least 2</w:t>
      </w:r>
      <w:r w:rsidR="00DF232D">
        <w:t> </w:t>
      </w:r>
      <w:r>
        <w:t>full working days prior to each meeting of the Committee.</w:t>
      </w:r>
    </w:p>
    <w:p w14:paraId="68DCB4EA" w14:textId="77777777" w:rsidR="00A72673" w:rsidRDefault="00A72673" w:rsidP="00EA1B19">
      <w:pPr>
        <w:pStyle w:val="Heading3"/>
      </w:pPr>
      <w:r>
        <w:t>The Committee Secretary will distribute a meeting timetable for each forthcoming calendar year.</w:t>
      </w:r>
    </w:p>
    <w:p w14:paraId="76157069" w14:textId="77777777" w:rsidR="00A72673" w:rsidRDefault="00A72673" w:rsidP="00EA1B19">
      <w:pPr>
        <w:pStyle w:val="Heading1"/>
      </w:pPr>
      <w:bookmarkStart w:id="12" w:name="_Toc384890174"/>
      <w:r>
        <w:t xml:space="preserve">Meetings &amp; authority of </w:t>
      </w:r>
      <w:r w:rsidR="00754DD4">
        <w:t>C</w:t>
      </w:r>
      <w:r>
        <w:t>ommittee</w:t>
      </w:r>
      <w:bookmarkEnd w:id="12"/>
    </w:p>
    <w:p w14:paraId="2F867291" w14:textId="77777777" w:rsidR="00A72673" w:rsidRDefault="00A72673" w:rsidP="00EA1B19">
      <w:pPr>
        <w:pStyle w:val="Heading2"/>
      </w:pPr>
      <w:bookmarkStart w:id="13" w:name="_Toc384890175"/>
      <w:r>
        <w:t>Meetings</w:t>
      </w:r>
      <w:bookmarkEnd w:id="13"/>
    </w:p>
    <w:p w14:paraId="53E5F96B" w14:textId="77777777" w:rsidR="00765F43" w:rsidRDefault="00765F43" w:rsidP="00765F43">
      <w:pPr>
        <w:pStyle w:val="Heading3"/>
      </w:pPr>
      <w:r>
        <w:t>The Committee will meet as often as necessary, but must meet at least twice a year and one of those meetings must take place at least 2 months prior to each annual general meeting.</w:t>
      </w:r>
    </w:p>
    <w:p w14:paraId="389E686B" w14:textId="77777777" w:rsidR="00765F43" w:rsidRDefault="00765F43" w:rsidP="00765F43">
      <w:pPr>
        <w:pStyle w:val="Heading3"/>
      </w:pPr>
      <w:r>
        <w:t>The Chair of the Committee must call a meeting of the Committee if so requested by any Committee member, the Managing Director or the Company Secretary.</w:t>
      </w:r>
    </w:p>
    <w:p w14:paraId="3018B5F3" w14:textId="77777777" w:rsidR="00765F43" w:rsidRDefault="00765F43" w:rsidP="00765F43">
      <w:pPr>
        <w:pStyle w:val="Heading3"/>
      </w:pPr>
      <w:r>
        <w:t>The Committee may invite other persons, including internal specialists or external advisers, to attend meetings if considered appropriate by the Chair of the Committee.</w:t>
      </w:r>
    </w:p>
    <w:p w14:paraId="3F090664" w14:textId="77777777" w:rsidR="00765F43" w:rsidRDefault="00765F43" w:rsidP="00765F43">
      <w:pPr>
        <w:pStyle w:val="Heading3"/>
      </w:pPr>
      <w:r>
        <w:t>The quorum necessary for a meeting of the Committee will be 2 members, of whom at least one must be an Independent Director.</w:t>
      </w:r>
    </w:p>
    <w:p w14:paraId="5846FF5F" w14:textId="77777777" w:rsidR="00A72673" w:rsidRDefault="00A72673" w:rsidP="00EA1B19">
      <w:pPr>
        <w:pStyle w:val="Heading2"/>
      </w:pPr>
      <w:bookmarkStart w:id="14" w:name="_Toc384890176"/>
      <w:r>
        <w:t>Authority</w:t>
      </w:r>
      <w:bookmarkEnd w:id="14"/>
    </w:p>
    <w:p w14:paraId="36BFBF92" w14:textId="77777777" w:rsidR="00A72673" w:rsidRDefault="00765F43" w:rsidP="00DF232D">
      <w:pPr>
        <w:pStyle w:val="IndentParaLevel1"/>
        <w:keepNext/>
      </w:pPr>
      <w:r w:rsidRPr="00765F43">
        <w:t>The Board authorises the Committee, within the scope of its responsibilities, to:</w:t>
      </w:r>
    </w:p>
    <w:p w14:paraId="752518A1" w14:textId="77777777" w:rsidR="00765F43" w:rsidRDefault="00765F43" w:rsidP="00765F43">
      <w:pPr>
        <w:pStyle w:val="Heading3"/>
      </w:pPr>
      <w:r>
        <w:t>investigate any matter within the ambit of the role of the Committee as described in paragraph </w:t>
      </w:r>
      <w:r w:rsidR="00E810AC">
        <w:fldChar w:fldCharType="begin"/>
      </w:r>
      <w:r w:rsidR="00E810AC">
        <w:instrText xml:space="preserve"> REF _Ref384729901 \w \h </w:instrText>
      </w:r>
      <w:r w:rsidR="00E810AC">
        <w:fldChar w:fldCharType="separate"/>
      </w:r>
      <w:r w:rsidR="001A5BF4">
        <w:t>1.2</w:t>
      </w:r>
      <w:r w:rsidR="00E810AC">
        <w:fldChar w:fldCharType="end"/>
      </w:r>
      <w:r>
        <w:t>, which is brought to its attention with full access to all books, records and facilities;</w:t>
      </w:r>
    </w:p>
    <w:p w14:paraId="2B2EDB77" w14:textId="77777777" w:rsidR="00765F43" w:rsidRDefault="00765F43" w:rsidP="00765F43">
      <w:pPr>
        <w:pStyle w:val="Heading3"/>
      </w:pPr>
      <w:r>
        <w:t>seek any information it requires from an employee (and all employees are directed to co</w:t>
      </w:r>
      <w:r w:rsidR="00E810AC">
        <w:noBreakHyphen/>
      </w:r>
      <w:r>
        <w:t>operate with any request made by the Committee) or external parties;</w:t>
      </w:r>
    </w:p>
    <w:p w14:paraId="3FA62B30" w14:textId="77777777" w:rsidR="00765F43" w:rsidRDefault="00765F43" w:rsidP="00765F43">
      <w:pPr>
        <w:pStyle w:val="Heading3"/>
      </w:pPr>
      <w:r>
        <w:t>obtain outside professional advice as it determines necessary to carry out its duties; and</w:t>
      </w:r>
    </w:p>
    <w:p w14:paraId="64D3AACD" w14:textId="77777777" w:rsidR="00765F43" w:rsidRDefault="00765F43" w:rsidP="00765F43">
      <w:pPr>
        <w:pStyle w:val="Heading3"/>
      </w:pPr>
      <w:r>
        <w:t>ensure the attendance of Company officers at meetings as it thinks appropriate.</w:t>
      </w:r>
    </w:p>
    <w:p w14:paraId="274C5690" w14:textId="77777777" w:rsidR="00A72673" w:rsidRDefault="00A72673" w:rsidP="00EA1B19">
      <w:pPr>
        <w:pStyle w:val="Heading1"/>
      </w:pPr>
      <w:bookmarkStart w:id="15" w:name="_Toc384890177"/>
      <w:r>
        <w:lastRenderedPageBreak/>
        <w:t>Duties and responsibilities</w:t>
      </w:r>
      <w:bookmarkEnd w:id="15"/>
    </w:p>
    <w:p w14:paraId="36A18EDB" w14:textId="77777777" w:rsidR="00A72673" w:rsidRDefault="00A72673" w:rsidP="00EA1B19">
      <w:pPr>
        <w:pStyle w:val="Heading2"/>
      </w:pPr>
      <w:bookmarkStart w:id="16" w:name="_Toc384890178"/>
      <w:r>
        <w:t>Understanding the Company's Business</w:t>
      </w:r>
      <w:bookmarkEnd w:id="16"/>
    </w:p>
    <w:p w14:paraId="6EF23867" w14:textId="77777777" w:rsidR="008121EF" w:rsidRDefault="008121EF" w:rsidP="00A72673">
      <w:pPr>
        <w:pStyle w:val="IndentParaLevel1"/>
      </w:pPr>
      <w:r w:rsidRPr="008121EF">
        <w:t>The Committee will ensure it understands the Company's structure, business and controls to ensure that it can adequately assess the significant risks faced by the Company.</w:t>
      </w:r>
    </w:p>
    <w:p w14:paraId="5D6AC73F" w14:textId="77777777" w:rsidR="00A72673" w:rsidRDefault="00A72673" w:rsidP="00EA1B19">
      <w:pPr>
        <w:pStyle w:val="Heading2"/>
      </w:pPr>
      <w:bookmarkStart w:id="17" w:name="_Toc384890179"/>
      <w:r>
        <w:t>Reporting</w:t>
      </w:r>
      <w:bookmarkEnd w:id="17"/>
    </w:p>
    <w:p w14:paraId="646A913A" w14:textId="77777777" w:rsidR="008121EF" w:rsidRDefault="008121EF" w:rsidP="008121EF">
      <w:pPr>
        <w:pStyle w:val="Heading3"/>
      </w:pPr>
      <w:r>
        <w:t>The Chair of the Committee must report the findings and recommendations of the Committee to the next Board meeting following each meeting of the Committee.</w:t>
      </w:r>
    </w:p>
    <w:p w14:paraId="67525A00" w14:textId="77777777" w:rsidR="008121EF" w:rsidRDefault="008121EF" w:rsidP="008121EF">
      <w:pPr>
        <w:pStyle w:val="Heading3"/>
      </w:pPr>
      <w:r>
        <w:t>The minutes of all Committee meetings will be circulated to members of the Board by the Committee Secretary.</w:t>
      </w:r>
    </w:p>
    <w:p w14:paraId="5D539C79" w14:textId="77777777" w:rsidR="008121EF" w:rsidRDefault="008121EF" w:rsidP="008121EF">
      <w:pPr>
        <w:pStyle w:val="Heading3"/>
      </w:pPr>
      <w:r>
        <w:t>The Chair of the Committee must submit an annual report to the Board summarising the Committee's activities during the year and the Committee's significant results and findings.</w:t>
      </w:r>
      <w:bookmarkStart w:id="18" w:name="_GoBack"/>
      <w:bookmarkEnd w:id="18"/>
    </w:p>
    <w:p w14:paraId="6BA6AC11" w14:textId="77777777" w:rsidR="008121EF" w:rsidRDefault="008121EF" w:rsidP="008121EF">
      <w:pPr>
        <w:pStyle w:val="Heading3"/>
      </w:pPr>
      <w:r>
        <w:t>The Committee must approve:</w:t>
      </w:r>
    </w:p>
    <w:p w14:paraId="7423E768" w14:textId="77777777" w:rsidR="008121EF" w:rsidRDefault="008121EF" w:rsidP="008121EF">
      <w:pPr>
        <w:pStyle w:val="Heading4"/>
      </w:pPr>
      <w:r>
        <w:t>the details to be published in the Company's Annual Report or any other statutory report or document with respect to the activities and responsibilities of the Committee; and</w:t>
      </w:r>
    </w:p>
    <w:p w14:paraId="20717BE4" w14:textId="77777777" w:rsidR="008121EF" w:rsidRDefault="008121EF" w:rsidP="008121EF">
      <w:pPr>
        <w:pStyle w:val="Heading4"/>
      </w:pPr>
      <w:r>
        <w:t>any statement on the Company's remuneration policy and executive compensation disclosures that may be required by law or other regulatory requirements (including any such statement to be included in the Company's Annual Report).</w:t>
      </w:r>
    </w:p>
    <w:p w14:paraId="3CAA9E17" w14:textId="77777777" w:rsidR="00A72673" w:rsidRDefault="00A72673" w:rsidP="00EA1B19">
      <w:pPr>
        <w:pStyle w:val="Heading2"/>
      </w:pPr>
      <w:bookmarkStart w:id="19" w:name="_Toc384890180"/>
      <w:r>
        <w:t>Specific responsibilities</w:t>
      </w:r>
      <w:bookmarkEnd w:id="19"/>
    </w:p>
    <w:p w14:paraId="787F9E09" w14:textId="77777777" w:rsidR="00A72673" w:rsidRDefault="00A93F8B" w:rsidP="00A72673">
      <w:pPr>
        <w:pStyle w:val="IndentParaLevel1"/>
      </w:pPr>
      <w:r w:rsidRPr="00A93F8B">
        <w:t>In addition to any other matters which may be delegated to the Committee by the Board (including special investigations), the Committee is responsible for:</w:t>
      </w:r>
    </w:p>
    <w:p w14:paraId="52DEBCA0" w14:textId="77777777" w:rsidR="00A93F8B" w:rsidRPr="00A93F8B" w:rsidRDefault="00A93F8B" w:rsidP="00A93F8B">
      <w:pPr>
        <w:pStyle w:val="IndentParaLevel1"/>
        <w:keepNext/>
        <w:rPr>
          <w:b/>
          <w:i/>
        </w:rPr>
      </w:pPr>
      <w:r w:rsidRPr="00A93F8B">
        <w:rPr>
          <w:b/>
          <w:i/>
        </w:rPr>
        <w:t>Remuneration of senior executives and executive Directors</w:t>
      </w:r>
    </w:p>
    <w:p w14:paraId="45F71B9E" w14:textId="77777777" w:rsidR="00404632" w:rsidRDefault="00404632" w:rsidP="00404632">
      <w:pPr>
        <w:pStyle w:val="Heading3"/>
      </w:pPr>
      <w:r>
        <w:t>regularly reviewing and making recommendations to the Board with respect to an appropriate remuneration policy including retirement benefits and termination payments (if any) for senior executives and executive Directors, ensuring that such a policy:</w:t>
      </w:r>
    </w:p>
    <w:p w14:paraId="33EB5FE7" w14:textId="77777777" w:rsidR="00404632" w:rsidRDefault="00404632" w:rsidP="00404632">
      <w:pPr>
        <w:pStyle w:val="Heading4"/>
      </w:pPr>
      <w:r>
        <w:t>enables the Company to attract and retain valued employees;</w:t>
      </w:r>
    </w:p>
    <w:p w14:paraId="67CB0326" w14:textId="77777777" w:rsidR="00404632" w:rsidRDefault="00404632" w:rsidP="00404632">
      <w:pPr>
        <w:pStyle w:val="Heading4"/>
      </w:pPr>
      <w:r>
        <w:t>motivates senior executives and executive Directors to pursue the long term growth and success of the Company;</w:t>
      </w:r>
    </w:p>
    <w:p w14:paraId="7244A7A9" w14:textId="77777777" w:rsidR="00404632" w:rsidRDefault="00404632" w:rsidP="00404632">
      <w:pPr>
        <w:pStyle w:val="Heading4"/>
      </w:pPr>
      <w:r>
        <w:t>demonstrates a clear relationship between performance and remuneration; and</w:t>
      </w:r>
    </w:p>
    <w:p w14:paraId="4EE0FCF3" w14:textId="77777777" w:rsidR="00404632" w:rsidRDefault="00404632" w:rsidP="00404632">
      <w:pPr>
        <w:pStyle w:val="Heading4"/>
      </w:pPr>
      <w:r>
        <w:t>has regard to prevailing market conditions.</w:t>
      </w:r>
    </w:p>
    <w:p w14:paraId="2854C82D" w14:textId="77777777" w:rsidR="00404632" w:rsidRDefault="00404632" w:rsidP="00404632">
      <w:pPr>
        <w:pStyle w:val="Heading3"/>
      </w:pPr>
      <w:r>
        <w:t>regularly reviewing and making recommendations to the Board regarding the remuneration packages of senior executives and executive Directors, including (as appropriate) fixed, performance</w:t>
      </w:r>
      <w:r w:rsidR="00E810AC">
        <w:noBreakHyphen/>
      </w:r>
      <w:r>
        <w:t>based and equity</w:t>
      </w:r>
      <w:r w:rsidR="00E810AC">
        <w:noBreakHyphen/>
      </w:r>
      <w:r>
        <w:t>based remuneration, reflecting short and long term performance objectives appropriate to the Company's circumstances and goals;</w:t>
      </w:r>
    </w:p>
    <w:p w14:paraId="57902E47" w14:textId="77777777" w:rsidR="00404632" w:rsidRDefault="00404632" w:rsidP="00404632">
      <w:pPr>
        <w:pStyle w:val="Heading3"/>
      </w:pPr>
      <w:r>
        <w:lastRenderedPageBreak/>
        <w:t>making recommendations to the Board with respect to the quantum of short term incentives (if any) to be paid to senior executives;</w:t>
      </w:r>
    </w:p>
    <w:p w14:paraId="514C4204" w14:textId="77777777" w:rsidR="00811017" w:rsidRPr="00811017" w:rsidRDefault="00811017" w:rsidP="00811017">
      <w:pPr>
        <w:pStyle w:val="IndentParaLevel1"/>
        <w:keepNext/>
        <w:rPr>
          <w:b/>
          <w:i/>
        </w:rPr>
      </w:pPr>
      <w:r w:rsidRPr="00811017">
        <w:rPr>
          <w:b/>
          <w:i/>
        </w:rPr>
        <w:t>Remuneration of non</w:t>
      </w:r>
      <w:r w:rsidR="00E810AC">
        <w:noBreakHyphen/>
      </w:r>
      <w:r w:rsidRPr="00811017">
        <w:rPr>
          <w:b/>
          <w:i/>
        </w:rPr>
        <w:t>executive Directors</w:t>
      </w:r>
    </w:p>
    <w:p w14:paraId="758D86B1" w14:textId="77777777" w:rsidR="00811017" w:rsidRDefault="00811017" w:rsidP="00811017">
      <w:pPr>
        <w:pStyle w:val="Heading3"/>
      </w:pPr>
      <w:r>
        <w:t>making recommendations as to the structure of remuneration for non</w:t>
      </w:r>
      <w:r w:rsidR="00E810AC">
        <w:noBreakHyphen/>
      </w:r>
      <w:r>
        <w:t>executive Directors;</w:t>
      </w:r>
    </w:p>
    <w:p w14:paraId="51751C13" w14:textId="77777777" w:rsidR="00811017" w:rsidRDefault="00811017" w:rsidP="00811017">
      <w:pPr>
        <w:pStyle w:val="Heading3"/>
      </w:pPr>
      <w:r>
        <w:t>ensuring that fees paid to non</w:t>
      </w:r>
      <w:r w:rsidR="00E810AC">
        <w:noBreakHyphen/>
      </w:r>
      <w:r>
        <w:t>executive Directors are within the aggregate amount approved by shareholders and making recommendations to the Board with respect to the need for increases to this aggregate amount at the Company's annual general meeting;</w:t>
      </w:r>
    </w:p>
    <w:p w14:paraId="14C2F4C6" w14:textId="77777777" w:rsidR="00F14243" w:rsidRPr="00F14243" w:rsidRDefault="00F14243" w:rsidP="00F14243">
      <w:pPr>
        <w:pStyle w:val="IndentParaLevel1"/>
        <w:keepNext/>
        <w:rPr>
          <w:b/>
          <w:i/>
        </w:rPr>
      </w:pPr>
      <w:r w:rsidRPr="00F14243">
        <w:rPr>
          <w:b/>
          <w:i/>
        </w:rPr>
        <w:t>Employee benefits and other policies</w:t>
      </w:r>
    </w:p>
    <w:p w14:paraId="16350AAD" w14:textId="77777777" w:rsidR="00F14243" w:rsidRDefault="00F14243" w:rsidP="00F14243">
      <w:pPr>
        <w:pStyle w:val="Heading3"/>
      </w:pPr>
      <w:r>
        <w:t>making recommendations to the Board with respect to the implementation and operation of equity</w:t>
      </w:r>
      <w:r w:rsidR="00E810AC">
        <w:noBreakHyphen/>
      </w:r>
      <w:r>
        <w:t>based incentive plans and other employee benefit programs;</w:t>
      </w:r>
    </w:p>
    <w:p w14:paraId="0BE751E9" w14:textId="77777777" w:rsidR="00F14243" w:rsidRDefault="00F14243" w:rsidP="00F14243">
      <w:pPr>
        <w:pStyle w:val="Heading3"/>
      </w:pPr>
      <w:r>
        <w:t>regularly reviewing the Company's recruitment, retention and termination policies;</w:t>
      </w:r>
    </w:p>
    <w:p w14:paraId="443E20ED" w14:textId="77777777" w:rsidR="00F14243" w:rsidRPr="00F14243" w:rsidRDefault="00F14243" w:rsidP="00F14243">
      <w:pPr>
        <w:pStyle w:val="IndentParaLevel1"/>
        <w:keepNext/>
        <w:rPr>
          <w:b/>
          <w:i/>
        </w:rPr>
      </w:pPr>
      <w:r w:rsidRPr="00F14243">
        <w:rPr>
          <w:b/>
          <w:i/>
        </w:rPr>
        <w:t>Superannuation</w:t>
      </w:r>
    </w:p>
    <w:p w14:paraId="1E81F04D" w14:textId="77777777" w:rsidR="00F14243" w:rsidRPr="00F14243" w:rsidRDefault="00F14243" w:rsidP="00F14243">
      <w:pPr>
        <w:pStyle w:val="Heading3"/>
      </w:pPr>
      <w:r w:rsidRPr="00F14243">
        <w:t>regularly reviewing and providing advice to the Board in relation to the Company's superannuation arrangements;</w:t>
      </w:r>
    </w:p>
    <w:p w14:paraId="79EC8965" w14:textId="77777777" w:rsidR="00F14243" w:rsidRPr="00F14243" w:rsidRDefault="00F14243" w:rsidP="00F14243">
      <w:pPr>
        <w:pStyle w:val="IndentParaLevel1"/>
        <w:keepNext/>
        <w:rPr>
          <w:b/>
          <w:i/>
        </w:rPr>
      </w:pPr>
      <w:r w:rsidRPr="00F14243">
        <w:rPr>
          <w:b/>
          <w:i/>
        </w:rPr>
        <w:t>Senior executives and executive Directors succession</w:t>
      </w:r>
    </w:p>
    <w:p w14:paraId="025FD637" w14:textId="77777777" w:rsidR="00A72673" w:rsidRDefault="00F14243" w:rsidP="00F14243">
      <w:pPr>
        <w:pStyle w:val="Heading3"/>
      </w:pPr>
      <w:r w:rsidRPr="00F14243">
        <w:t>reviewing succession plans of senior executives and executive Directors on a regular basis to maintain an appropriate balance of skills, experience and expertise in the management of the Company and providing advice to the Board accordingly;</w:t>
      </w:r>
    </w:p>
    <w:p w14:paraId="31A9AC76" w14:textId="77777777" w:rsidR="002C1673" w:rsidRPr="002C1673" w:rsidRDefault="002C1673" w:rsidP="002C1673">
      <w:pPr>
        <w:pStyle w:val="IndentParaLevel1"/>
        <w:keepNext/>
        <w:rPr>
          <w:b/>
          <w:i/>
        </w:rPr>
      </w:pPr>
      <w:r w:rsidRPr="002C1673">
        <w:rPr>
          <w:b/>
          <w:i/>
        </w:rPr>
        <w:t>Board succession</w:t>
      </w:r>
    </w:p>
    <w:p w14:paraId="5549F25A" w14:textId="77777777" w:rsidR="00A72673" w:rsidRDefault="002C1673" w:rsidP="002C1673">
      <w:pPr>
        <w:pStyle w:val="Heading3"/>
      </w:pPr>
      <w:r w:rsidRPr="002C1673">
        <w:t>reviewing Board succession plans on a regular basis to maintain an appropriate balance of skills, knowledge, experience, independence, diversity and expertise on the Board and providing advice to the Board accordingly;</w:t>
      </w:r>
    </w:p>
    <w:p w14:paraId="10E33C1E" w14:textId="77777777" w:rsidR="002C1673" w:rsidRPr="002C1673" w:rsidRDefault="002C1673" w:rsidP="002C1673">
      <w:pPr>
        <w:pStyle w:val="IndentParaLevel1"/>
        <w:keepNext/>
        <w:rPr>
          <w:b/>
          <w:i/>
        </w:rPr>
      </w:pPr>
      <w:r w:rsidRPr="002C1673">
        <w:rPr>
          <w:b/>
          <w:i/>
        </w:rPr>
        <w:t>New Directors</w:t>
      </w:r>
    </w:p>
    <w:p w14:paraId="78860112" w14:textId="77777777" w:rsidR="002C1673" w:rsidRDefault="002C1673" w:rsidP="002C1673">
      <w:pPr>
        <w:pStyle w:val="Heading3"/>
      </w:pPr>
      <w:r>
        <w:t>developing policy</w:t>
      </w:r>
      <w:r w:rsidR="004A6D51">
        <w:t>,</w:t>
      </w:r>
      <w:r>
        <w:t xml:space="preserve"> procedures</w:t>
      </w:r>
      <w:r w:rsidR="004A6D51">
        <w:t xml:space="preserve"> and processes</w:t>
      </w:r>
      <w:r>
        <w:t xml:space="preserve"> for the selection and appointment of Directors;</w:t>
      </w:r>
    </w:p>
    <w:p w14:paraId="47E3F5E4" w14:textId="77777777" w:rsidR="002C1673" w:rsidRDefault="002C1673" w:rsidP="002C1673">
      <w:pPr>
        <w:pStyle w:val="Heading3"/>
      </w:pPr>
      <w:r>
        <w:t>identifying individuals who may be qualified to become Directors, having regard to such factors as the Committee considers appropriate, including judgement, skill, diversity, experience with business and other organisations of a comparable size, the interplay of the candidate's experience with the experience of other Board members, the extent to which the candidate would be a desirable addition to the Board and any Board Committee, and the Corporate Governance Principles and Recommendations (3rd</w:t>
      </w:r>
      <w:r w:rsidR="00E810AC">
        <w:t> </w:t>
      </w:r>
      <w:r>
        <w:t xml:space="preserve">edition) of the ASX Corporate Governance Council (the </w:t>
      </w:r>
      <w:r w:rsidRPr="002C1673">
        <w:rPr>
          <w:b/>
        </w:rPr>
        <w:t>Guidelines</w:t>
      </w:r>
      <w:r>
        <w:t>);</w:t>
      </w:r>
    </w:p>
    <w:p w14:paraId="0F5D0A77" w14:textId="77777777" w:rsidR="00A72673" w:rsidRDefault="002C1673" w:rsidP="002C1673">
      <w:pPr>
        <w:pStyle w:val="Heading3"/>
      </w:pPr>
      <w:r>
        <w:t>ensuring that an effective orientation program for new Directors is in place, and regularly reviewing its effectiveness;</w:t>
      </w:r>
    </w:p>
    <w:p w14:paraId="7F673A83" w14:textId="77777777" w:rsidR="002C1673" w:rsidRPr="002C1673" w:rsidRDefault="002C1673" w:rsidP="002C1673">
      <w:pPr>
        <w:pStyle w:val="IndentParaLevel1"/>
        <w:keepNext/>
        <w:rPr>
          <w:b/>
          <w:i/>
        </w:rPr>
      </w:pPr>
      <w:r w:rsidRPr="002C1673">
        <w:rPr>
          <w:b/>
          <w:i/>
        </w:rPr>
        <w:t>Board Committees</w:t>
      </w:r>
    </w:p>
    <w:p w14:paraId="363CB824" w14:textId="77777777" w:rsidR="00A72673" w:rsidRDefault="002C1673" w:rsidP="002C1673">
      <w:pPr>
        <w:pStyle w:val="Heading3"/>
      </w:pPr>
      <w:r w:rsidRPr="002C1673">
        <w:t xml:space="preserve">identifying Directors qualified to fill vacancies on Board committees and making recommendations to the Board accordingly, having regard to such factors as the </w:t>
      </w:r>
      <w:r w:rsidRPr="002C1673">
        <w:lastRenderedPageBreak/>
        <w:t>Committee considers appropriate, including the terms of reference of the particular Board committee the Director's experience, the interplay of the Director's experience with the experience of other Committee members and the Guidelines;</w:t>
      </w:r>
    </w:p>
    <w:p w14:paraId="5270FCFE" w14:textId="77777777" w:rsidR="002C1673" w:rsidRPr="002C1673" w:rsidRDefault="002C1673" w:rsidP="002C1673">
      <w:pPr>
        <w:pStyle w:val="IndentParaLevel1"/>
        <w:keepNext/>
        <w:rPr>
          <w:b/>
          <w:i/>
        </w:rPr>
      </w:pPr>
      <w:r w:rsidRPr="002C1673">
        <w:rPr>
          <w:b/>
          <w:i/>
        </w:rPr>
        <w:t>Performance</w:t>
      </w:r>
    </w:p>
    <w:p w14:paraId="53A673CA" w14:textId="77777777" w:rsidR="002C1673" w:rsidRDefault="002C1673" w:rsidP="002C1673">
      <w:pPr>
        <w:pStyle w:val="Heading3"/>
      </w:pPr>
      <w:r>
        <w:t>developing or arranging a program for inducting new Directors and providing appropriate professional development opportunities for Directors to develop and maintain the skills and knowledge needed to perform their role as directors effectively</w:t>
      </w:r>
      <w:r w:rsidR="004A6D51">
        <w:t>, which should include but not be limited to briefings on relevant accounting standards and developments in any relevant accounting standards to fulfil a Director's responsibilities in relation to the Company's financial statements</w:t>
      </w:r>
      <w:r>
        <w:t>;</w:t>
      </w:r>
    </w:p>
    <w:p w14:paraId="33B4EC38" w14:textId="77777777" w:rsidR="002C1673" w:rsidRDefault="002C1673" w:rsidP="002C1673">
      <w:pPr>
        <w:pStyle w:val="Heading3"/>
      </w:pPr>
      <w:r>
        <w:t>regularly reviewing whether Directors have the requisite skills, knowledge and familiarity with the Company and its operating environment</w:t>
      </w:r>
      <w:r w:rsidR="004A6D51">
        <w:t xml:space="preserve"> as well as identifying any gaps in the collective skills of the Board that should be addressed</w:t>
      </w:r>
      <w:r>
        <w:t xml:space="preserve"> in order to fulfil their role on the Board</w:t>
      </w:r>
      <w:r w:rsidR="004A6D51">
        <w:t xml:space="preserve"> and where any gaps are identified consider what training or development could be undertaken to fill those gaps</w:t>
      </w:r>
      <w:r>
        <w:t>;</w:t>
      </w:r>
    </w:p>
    <w:p w14:paraId="3ED6E008" w14:textId="77777777" w:rsidR="002C1673" w:rsidRDefault="002C1673" w:rsidP="002C1673">
      <w:pPr>
        <w:pStyle w:val="Heading3"/>
      </w:pPr>
      <w:r>
        <w:t>in conjunction or collaboration with the Board, developing procedures for the annual evaluation of the performance of the Board, each Board Committee and individual Directors, comparing their performance with the requirements of the Board Charter, this Charter, other relevant Board Committee Charters and the reasonable expectations of individual Directors;</w:t>
      </w:r>
    </w:p>
    <w:p w14:paraId="545D7BE1" w14:textId="77777777" w:rsidR="009B6684" w:rsidRPr="009B6684" w:rsidRDefault="009B6684" w:rsidP="009B6684">
      <w:pPr>
        <w:pStyle w:val="IndentParaLevel1"/>
        <w:keepNext/>
        <w:rPr>
          <w:b/>
          <w:i/>
        </w:rPr>
      </w:pPr>
      <w:r w:rsidRPr="009B6684">
        <w:rPr>
          <w:b/>
          <w:i/>
        </w:rPr>
        <w:t>Senior executives and executive Directors</w:t>
      </w:r>
    </w:p>
    <w:p w14:paraId="216652F0" w14:textId="77777777" w:rsidR="009B6684" w:rsidRDefault="009B6684" w:rsidP="009B6684">
      <w:pPr>
        <w:pStyle w:val="Heading3"/>
      </w:pPr>
      <w:r>
        <w:t>developing and implementing a plan for identifying, assessing and enhancing competencies of senior executives and executive Directors;</w:t>
      </w:r>
    </w:p>
    <w:p w14:paraId="6D887FC0" w14:textId="77777777" w:rsidR="009B6684" w:rsidRDefault="009B6684" w:rsidP="009B6684">
      <w:pPr>
        <w:pStyle w:val="Heading3"/>
      </w:pPr>
      <w:r>
        <w:t>ensuring that the performance of each senior executive and executive Director is evaluated at least annually;</w:t>
      </w:r>
    </w:p>
    <w:p w14:paraId="2899DC4B" w14:textId="77777777" w:rsidR="00FE6EDB" w:rsidRPr="00FE6EDB" w:rsidRDefault="00FE6EDB" w:rsidP="00FE6EDB">
      <w:pPr>
        <w:pStyle w:val="IndentParaLevel1"/>
        <w:keepNext/>
        <w:rPr>
          <w:b/>
          <w:i/>
        </w:rPr>
      </w:pPr>
      <w:r w:rsidRPr="00FE6EDB">
        <w:rPr>
          <w:b/>
          <w:i/>
        </w:rPr>
        <w:t>Board</w:t>
      </w:r>
    </w:p>
    <w:p w14:paraId="31A4E052" w14:textId="77777777" w:rsidR="00FE6EDB" w:rsidRDefault="00FE6EDB" w:rsidP="00FE6EDB">
      <w:pPr>
        <w:pStyle w:val="Heading3"/>
      </w:pPr>
      <w:r>
        <w:t>considering and articulating the time needed to fulfil the role of Chair and non</w:t>
      </w:r>
      <w:r w:rsidR="00E810AC">
        <w:noBreakHyphen/>
      </w:r>
      <w:r>
        <w:t>executive Director;</w:t>
      </w:r>
    </w:p>
    <w:p w14:paraId="1D3E70AC" w14:textId="77777777" w:rsidR="00FE6EDB" w:rsidRDefault="00FE6EDB" w:rsidP="00FE6EDB">
      <w:pPr>
        <w:pStyle w:val="Heading3"/>
      </w:pPr>
      <w:r>
        <w:t>developing and implementing a plan for identifying, assessing and enhancing Director competencies;</w:t>
      </w:r>
    </w:p>
    <w:p w14:paraId="7F7549E0" w14:textId="77777777" w:rsidR="004A6D51" w:rsidRDefault="004A6D51" w:rsidP="00FE6EDB">
      <w:pPr>
        <w:pStyle w:val="Heading3"/>
      </w:pPr>
      <w:r>
        <w:t>developing and implementing succession planning for the Board;</w:t>
      </w:r>
    </w:p>
    <w:p w14:paraId="51A01CF2" w14:textId="77777777" w:rsidR="00FE6EDB" w:rsidRDefault="00FE6EDB" w:rsidP="00FE6EDB">
      <w:pPr>
        <w:pStyle w:val="Heading3"/>
      </w:pPr>
      <w:r>
        <w:t>establishing procedures for the Committee to oversee the evaluation of the performance of the Board and each Director including an assessment of whether each Director has devoted sufficient time to their duties</w:t>
      </w:r>
      <w:r w:rsidR="00020DFE">
        <w:t>;</w:t>
      </w:r>
    </w:p>
    <w:p w14:paraId="06835273" w14:textId="77777777" w:rsidR="00FE6EDB" w:rsidRPr="00FE6EDB" w:rsidRDefault="00FE6EDB" w:rsidP="00FE6EDB">
      <w:pPr>
        <w:pStyle w:val="IndentParaLevel1"/>
        <w:keepNext/>
        <w:rPr>
          <w:b/>
          <w:i/>
        </w:rPr>
      </w:pPr>
      <w:r w:rsidRPr="00FE6EDB">
        <w:rPr>
          <w:b/>
          <w:i/>
        </w:rPr>
        <w:t>Shareholder approval</w:t>
      </w:r>
    </w:p>
    <w:p w14:paraId="76FEB3C8" w14:textId="77777777" w:rsidR="00FE6EDB" w:rsidRPr="00FE6EDB" w:rsidRDefault="00FE6EDB" w:rsidP="00FE6EDB">
      <w:pPr>
        <w:pStyle w:val="Heading3"/>
      </w:pPr>
      <w:r w:rsidRPr="00FE6EDB">
        <w:t>considering those aspects of the Company's remuneration policies and packages, including equity</w:t>
      </w:r>
      <w:r w:rsidR="00E810AC">
        <w:noBreakHyphen/>
      </w:r>
      <w:r w:rsidRPr="00FE6EDB">
        <w:t>based incentives, which should be subject to shareholder approval and making recommendations to the Board accordingly;</w:t>
      </w:r>
    </w:p>
    <w:p w14:paraId="2443EDBA" w14:textId="77777777" w:rsidR="00FE6EDB" w:rsidRPr="00FE6EDB" w:rsidRDefault="00FE6EDB" w:rsidP="00FE6EDB">
      <w:pPr>
        <w:pStyle w:val="IndentParaLevel1"/>
        <w:rPr>
          <w:b/>
          <w:i/>
        </w:rPr>
      </w:pPr>
      <w:r w:rsidRPr="00FE6EDB">
        <w:rPr>
          <w:b/>
          <w:i/>
        </w:rPr>
        <w:t>Size and composition of the Board</w:t>
      </w:r>
    </w:p>
    <w:p w14:paraId="5D03CBF7" w14:textId="77777777" w:rsidR="00FE6EDB" w:rsidRDefault="00FE6EDB" w:rsidP="00FE6EDB">
      <w:pPr>
        <w:pStyle w:val="Heading3"/>
      </w:pPr>
      <w:r>
        <w:t>regularly reviewing the size and composition of the Board and making recommendations to the Board with regard to any appropriate changes;</w:t>
      </w:r>
    </w:p>
    <w:p w14:paraId="75B4A2EF" w14:textId="77777777" w:rsidR="00FE6EDB" w:rsidRDefault="00FE6EDB" w:rsidP="00FE6EDB">
      <w:pPr>
        <w:pStyle w:val="Heading3"/>
      </w:pPr>
      <w:r>
        <w:lastRenderedPageBreak/>
        <w:t>providing advice to the Board with respect to the necessary and desirable competencies of Directors;</w:t>
      </w:r>
    </w:p>
    <w:p w14:paraId="2DDBB3B8" w14:textId="77777777" w:rsidR="00FE6EDB" w:rsidRDefault="00FE6EDB" w:rsidP="00FE6EDB">
      <w:pPr>
        <w:pStyle w:val="Heading3"/>
      </w:pPr>
      <w:r>
        <w:t>making recommendations to the Board for the appointment and removal of Directors;</w:t>
      </w:r>
    </w:p>
    <w:p w14:paraId="608A6E49" w14:textId="77777777" w:rsidR="00FE6EDB" w:rsidRDefault="00FE6EDB" w:rsidP="00FE6EDB">
      <w:pPr>
        <w:pStyle w:val="Heading3"/>
      </w:pPr>
      <w:r>
        <w:t>in a timely manner, making recommendations to the Board whether or not Directors, whose term of office is expiring, should be proposed for re</w:t>
      </w:r>
      <w:r w:rsidR="00E810AC">
        <w:noBreakHyphen/>
      </w:r>
      <w:r>
        <w:t>election at the Company's next AGM;</w:t>
      </w:r>
    </w:p>
    <w:p w14:paraId="39B5DB8F" w14:textId="77777777" w:rsidR="00FE6EDB" w:rsidRPr="00FE6EDB" w:rsidRDefault="00FE6EDB" w:rsidP="00FE6EDB">
      <w:pPr>
        <w:pStyle w:val="IndentParaLevel1"/>
        <w:keepNext/>
        <w:rPr>
          <w:b/>
          <w:i/>
        </w:rPr>
      </w:pPr>
      <w:r w:rsidRPr="00FE6EDB">
        <w:rPr>
          <w:b/>
          <w:i/>
        </w:rPr>
        <w:t>Diversity</w:t>
      </w:r>
    </w:p>
    <w:p w14:paraId="10B4CC27" w14:textId="77777777" w:rsidR="00FE6EDB" w:rsidRDefault="00FE6EDB" w:rsidP="00FE6EDB">
      <w:pPr>
        <w:pStyle w:val="Heading3"/>
      </w:pPr>
      <w:r>
        <w:t>developing measurable objectives to achieve gender diversity in accordance with the Company's Diversity Policy;</w:t>
      </w:r>
    </w:p>
    <w:p w14:paraId="0308A76C" w14:textId="77777777" w:rsidR="00FE6EDB" w:rsidRDefault="00FE6EDB" w:rsidP="00FE6EDB">
      <w:pPr>
        <w:pStyle w:val="Heading3"/>
      </w:pPr>
      <w:r>
        <w:t>monitoring, reviewing and reporting to the Board on the Company's performance in respect of gender diversity in accordance with the Company's Diversity Policy;</w:t>
      </w:r>
    </w:p>
    <w:p w14:paraId="7E0B96FF" w14:textId="77777777" w:rsidR="00FE6EDB" w:rsidRDefault="00FE6EDB" w:rsidP="00FE6EDB">
      <w:pPr>
        <w:pStyle w:val="Heading3"/>
      </w:pPr>
      <w:r>
        <w:t>reviewing the Company's Diversity Policy at least annually to assess the effectiveness of the policy and make recommendations to the Board as to any strategies required to address Board diversity;</w:t>
      </w:r>
    </w:p>
    <w:p w14:paraId="1DACC0C2" w14:textId="77777777" w:rsidR="00FE6EDB" w:rsidRDefault="00FE6EDB" w:rsidP="00FE6EDB">
      <w:pPr>
        <w:pStyle w:val="Heading3"/>
      </w:pPr>
      <w:r>
        <w:t>reviewing and reporting to the Board at least annually on the relative proportion of women and men at all levels of the business; and</w:t>
      </w:r>
    </w:p>
    <w:p w14:paraId="076B904C" w14:textId="77777777" w:rsidR="00FE6EDB" w:rsidRDefault="00FE6EDB" w:rsidP="00FE6EDB">
      <w:pPr>
        <w:pStyle w:val="Heading3"/>
      </w:pPr>
      <w:r>
        <w:t>reviewing and making recommendations to the Board on remuneration by gender.</w:t>
      </w:r>
    </w:p>
    <w:p w14:paraId="448B6177" w14:textId="77777777" w:rsidR="00A72673" w:rsidRDefault="007F2C1B" w:rsidP="00A72673">
      <w:pPr>
        <w:pStyle w:val="IndentParaLevel1"/>
      </w:pPr>
      <w:r w:rsidRPr="007F2C1B">
        <w:t>The Committee will have no executive powers with regard to its findings and recommendations.</w:t>
      </w:r>
    </w:p>
    <w:p w14:paraId="3226F25D" w14:textId="77777777" w:rsidR="00A72673" w:rsidRDefault="00A72673" w:rsidP="009A5CC8">
      <w:pPr>
        <w:pStyle w:val="Heading2"/>
      </w:pPr>
      <w:bookmarkStart w:id="20" w:name="_Toc384890181"/>
      <w:r>
        <w:t>Other matters</w:t>
      </w:r>
      <w:bookmarkEnd w:id="20"/>
    </w:p>
    <w:p w14:paraId="1B2CB55A" w14:textId="77777777" w:rsidR="00095331" w:rsidRDefault="00095331" w:rsidP="00095331">
      <w:pPr>
        <w:pStyle w:val="Heading3"/>
      </w:pPr>
      <w:r>
        <w:t>The Committee is authorised to engage, at the Company's expense, outside legal or other professional advice or assistance on any matters within its terms of reference.</w:t>
      </w:r>
    </w:p>
    <w:p w14:paraId="1D35EFD3" w14:textId="77777777" w:rsidR="00095331" w:rsidRDefault="00095331" w:rsidP="00095331">
      <w:pPr>
        <w:pStyle w:val="Heading3"/>
      </w:pPr>
      <w:r>
        <w:t>The Committee is authorised to seek any information it requires from any officer or employee of the Company and such officers or employees will be instructed by the Board of the Company employing them to respond to such enquiries.</w:t>
      </w:r>
    </w:p>
    <w:p w14:paraId="393E38FC" w14:textId="77777777" w:rsidR="00095331" w:rsidRDefault="00095331" w:rsidP="00095331">
      <w:pPr>
        <w:pStyle w:val="Heading3"/>
      </w:pPr>
      <w:r>
        <w:t>No member of the Committee may participate in any decision with respect to his or her position or remuneration.</w:t>
      </w:r>
    </w:p>
    <w:p w14:paraId="231CF264" w14:textId="77777777" w:rsidR="00095331" w:rsidRDefault="00095331" w:rsidP="00095331">
      <w:pPr>
        <w:pStyle w:val="Heading3"/>
      </w:pPr>
      <w:r>
        <w:t>The Committee may, in its discretion, delegate all or some of its responsibilities to a sub</w:t>
      </w:r>
      <w:r w:rsidR="00E810AC">
        <w:noBreakHyphen/>
      </w:r>
      <w:r>
        <w:t>committee.</w:t>
      </w:r>
    </w:p>
    <w:p w14:paraId="288BADD0" w14:textId="77777777" w:rsidR="00A72673" w:rsidRDefault="00095331" w:rsidP="00095331">
      <w:pPr>
        <w:pStyle w:val="Heading2"/>
      </w:pPr>
      <w:r w:rsidRPr="00095331">
        <w:t>Committee performance</w:t>
      </w:r>
      <w:r w:rsidR="004A6D51">
        <w:t xml:space="preserve"> assessment</w:t>
      </w:r>
    </w:p>
    <w:p w14:paraId="1197C2FB" w14:textId="77777777" w:rsidR="004E6629" w:rsidRDefault="004E6629" w:rsidP="004E6629">
      <w:pPr>
        <w:pStyle w:val="Heading3"/>
      </w:pPr>
      <w:r>
        <w:t>The Committee will perform an evaluation of its performance at least annually to determine whether it is functioning effectively by reference to current best practice.</w:t>
      </w:r>
    </w:p>
    <w:p w14:paraId="061FD66D" w14:textId="77777777" w:rsidR="004E6629" w:rsidRDefault="004E6629" w:rsidP="004E6629">
      <w:pPr>
        <w:pStyle w:val="Heading3"/>
      </w:pPr>
      <w:r>
        <w:t>The Board will evaluate the performance of the Committee as appropriate.</w:t>
      </w:r>
    </w:p>
    <w:p w14:paraId="0E71D2C4" w14:textId="77777777" w:rsidR="00A72673" w:rsidRDefault="00A72673" w:rsidP="009A5CC8">
      <w:pPr>
        <w:pStyle w:val="Heading1"/>
      </w:pPr>
      <w:bookmarkStart w:id="21" w:name="_Toc384890183"/>
      <w:r>
        <w:lastRenderedPageBreak/>
        <w:t>Other matters</w:t>
      </w:r>
      <w:bookmarkEnd w:id="21"/>
    </w:p>
    <w:p w14:paraId="3FAF6166" w14:textId="77777777" w:rsidR="00A72673" w:rsidRDefault="00A72673" w:rsidP="009A5CC8">
      <w:pPr>
        <w:pStyle w:val="Heading2"/>
      </w:pPr>
      <w:bookmarkStart w:id="22" w:name="_Toc384890184"/>
      <w:r>
        <w:t>Amendment of Charter</w:t>
      </w:r>
      <w:bookmarkEnd w:id="22"/>
    </w:p>
    <w:p w14:paraId="463868BC" w14:textId="77777777" w:rsidR="00A72673" w:rsidRDefault="00A72673" w:rsidP="00A72673">
      <w:pPr>
        <w:pStyle w:val="IndentParaLevel1"/>
      </w:pPr>
      <w:r>
        <w:t>This Charter can only be amended with the approval of the Board.</w:t>
      </w:r>
    </w:p>
    <w:p w14:paraId="7D16D699" w14:textId="77777777" w:rsidR="00A72673" w:rsidRDefault="00A72673" w:rsidP="009A5CC8">
      <w:pPr>
        <w:pStyle w:val="Heading2"/>
      </w:pPr>
      <w:bookmarkStart w:id="23" w:name="_Toc384890185"/>
      <w:r>
        <w:t>Adoption of Charter and periodic review</w:t>
      </w:r>
      <w:bookmarkEnd w:id="23"/>
    </w:p>
    <w:p w14:paraId="7033B7C5" w14:textId="6E784911" w:rsidR="009C2F9B" w:rsidRDefault="009C2F9B" w:rsidP="009C2F9B">
      <w:pPr>
        <w:pStyle w:val="IndentParaLevel1"/>
      </w:pPr>
      <w:r>
        <w:t>This Charter was adopted by the B</w:t>
      </w:r>
      <w:r w:rsidR="002B420F">
        <w:t xml:space="preserve">oard on </w:t>
      </w:r>
      <w:proofErr w:type="gramStart"/>
      <w:r w:rsidR="009B6E06">
        <w:t>24 September 2019</w:t>
      </w:r>
      <w:r>
        <w:t>, and</w:t>
      </w:r>
      <w:proofErr w:type="gramEnd"/>
      <w:r>
        <w:t xml:space="preserve"> takes effect from that date and replaces any previous Charter in this regard.</w:t>
      </w:r>
    </w:p>
    <w:p w14:paraId="0B1DFB14" w14:textId="77777777" w:rsidR="00A72673" w:rsidRDefault="009C2F9B" w:rsidP="009C2F9B">
      <w:pPr>
        <w:pStyle w:val="IndentParaLevel1"/>
      </w:pPr>
      <w:r>
        <w:t xml:space="preserve">The Committee must review and reassess this Charter at least annually and, if required, make recommendations to the Board in respect of any amendments to the Charter.  The Board will also review this Charter periodically. </w:t>
      </w:r>
      <w:r w:rsidR="003B5CBE">
        <w:t xml:space="preserve"> </w:t>
      </w:r>
      <w:r>
        <w:t>The Company Secretary will communicate any amendments to employees as appropriate.</w:t>
      </w:r>
    </w:p>
    <w:p w14:paraId="1835E125" w14:textId="77777777" w:rsidR="00834C5E" w:rsidRDefault="00834C5E" w:rsidP="00A16FBD"/>
    <w:p w14:paraId="660B08BA" w14:textId="77777777" w:rsidR="006675A4" w:rsidRDefault="006675A4" w:rsidP="006675A4">
      <w:r>
        <w:br w:type="page"/>
      </w:r>
    </w:p>
    <w:p w14:paraId="505AC1ED" w14:textId="77777777" w:rsidR="00F109C5" w:rsidRDefault="006675A4" w:rsidP="00F109C5">
      <w:pPr>
        <w:pStyle w:val="Title"/>
        <w:jc w:val="center"/>
      </w:pPr>
      <w:bookmarkStart w:id="24" w:name="_Ref384720525"/>
      <w:bookmarkStart w:id="25" w:name="_Toc384890186"/>
      <w:r>
        <w:lastRenderedPageBreak/>
        <w:t>Schedule</w:t>
      </w:r>
      <w:bookmarkEnd w:id="24"/>
    </w:p>
    <w:bookmarkEnd w:id="25"/>
    <w:p w14:paraId="44CE92B0" w14:textId="6E3EE80A" w:rsidR="006675A4" w:rsidRDefault="0052085F" w:rsidP="00F109C5">
      <w:pPr>
        <w:pStyle w:val="Title"/>
      </w:pPr>
      <w:r w:rsidRPr="0052085F">
        <w:t>Independence as defined by the ASX Corporate Governance Council in their Corporate Governance Principles and Recommendations (</w:t>
      </w:r>
      <w:r w:rsidR="00BC29F4">
        <w:t>4th</w:t>
      </w:r>
      <w:r>
        <w:t> </w:t>
      </w:r>
      <w:r w:rsidRPr="0052085F">
        <w:t>edition)</w:t>
      </w:r>
    </w:p>
    <w:p w14:paraId="43DE51DD" w14:textId="77777777" w:rsidR="00C93D3E" w:rsidRDefault="00C93D3E" w:rsidP="00C93D3E">
      <w:r>
        <w:t>An independent director is a non</w:t>
      </w:r>
      <w:r w:rsidR="00E810AC">
        <w:noBreakHyphen/>
      </w:r>
      <w:r>
        <w:t>executive director who is not a member of management, and who is free of any business or other relationship that could materially interfere with, or could reasonably be perceived to materially interfere with, the independent exercise of their judgement and to act in the best interests of the Company and its security holders generally.</w:t>
      </w:r>
    </w:p>
    <w:p w14:paraId="42F762A7" w14:textId="2DF19A2F" w:rsidR="0052085F" w:rsidRDefault="00C93D3E" w:rsidP="00C93D3E">
      <w:r>
        <w:t xml:space="preserve">The corporate governance guidelines provide certain </w:t>
      </w:r>
      <w:r w:rsidR="00BC29F4">
        <w:t>factors relevant to</w:t>
      </w:r>
      <w:r>
        <w:t xml:space="preserve"> assessing the independence of directors and outline relationships which may affect independent status</w:t>
      </w:r>
      <w:r w:rsidR="00BC29F4">
        <w:rPr>
          <w:rStyle w:val="FootnoteReference"/>
        </w:rPr>
        <w:footnoteReference w:id="3"/>
      </w:r>
      <w:r>
        <w:t>.  They provide that when determining the independent status of a director the board should consider</w:t>
      </w:r>
      <w:r w:rsidR="00BC29F4">
        <w:t>, by way of examples,</w:t>
      </w:r>
      <w:r>
        <w:t xml:space="preserve"> whether the director:</w:t>
      </w:r>
    </w:p>
    <w:p w14:paraId="27907291" w14:textId="77777777" w:rsidR="00020DFE" w:rsidRDefault="00020DFE" w:rsidP="00020DFE">
      <w:pPr>
        <w:pStyle w:val="CUNumber1"/>
      </w:pPr>
      <w:r>
        <w:t>is, or has been, employed in an executive capacity by the Company or another group member, and there has not been a period of at least three years between ceasing such employment and serving on the Board;</w:t>
      </w:r>
    </w:p>
    <w:p w14:paraId="39215A8D" w14:textId="77777777" w:rsidR="00BC29F4" w:rsidRDefault="00BC29F4" w:rsidP="00BC29F4">
      <w:pPr>
        <w:numPr>
          <w:ilvl w:val="0"/>
          <w:numId w:val="18"/>
        </w:numPr>
        <w:outlineLvl w:val="0"/>
      </w:pPr>
      <w:r>
        <w:t>receives performance-based remuneration (including options or performance rights) from, or participates in an employee incentive scheme of the entity;</w:t>
      </w:r>
    </w:p>
    <w:p w14:paraId="4F9BA591" w14:textId="77777777" w:rsidR="00BC29F4" w:rsidRPr="007451BD" w:rsidRDefault="00BC29F4" w:rsidP="00BC29F4">
      <w:pPr>
        <w:numPr>
          <w:ilvl w:val="0"/>
          <w:numId w:val="18"/>
        </w:numPr>
        <w:outlineLvl w:val="0"/>
      </w:pPr>
      <w:r w:rsidRPr="007451BD">
        <w:t>is, or has been within the last three years, in a material business relationship (</w:t>
      </w:r>
      <w:proofErr w:type="spellStart"/>
      <w:r w:rsidRPr="007451BD">
        <w:t>eg</w:t>
      </w:r>
      <w:proofErr w:type="spellEnd"/>
      <w:r w:rsidRPr="007451BD">
        <w:t xml:space="preserve"> as a supplier</w:t>
      </w:r>
      <w:r>
        <w:t>,</w:t>
      </w:r>
      <w:r w:rsidRPr="007451BD">
        <w:t xml:space="preserve"> </w:t>
      </w:r>
      <w:r>
        <w:t>professional adviser, consultant</w:t>
      </w:r>
      <w:r w:rsidRPr="007451BD">
        <w:t xml:space="preserve"> or customer) with the Company or other group member, or an officer of, or otherwise associated with, someone with such a relationship;</w:t>
      </w:r>
    </w:p>
    <w:p w14:paraId="212B9D6B" w14:textId="77777777" w:rsidR="00BC29F4" w:rsidRDefault="00BC29F4" w:rsidP="00BC29F4">
      <w:pPr>
        <w:numPr>
          <w:ilvl w:val="0"/>
          <w:numId w:val="18"/>
        </w:numPr>
        <w:outlineLvl w:val="0"/>
      </w:pPr>
      <w:r>
        <w:t>is, represents, or is or has been within the last three years an officer or employee of, or professional adviser to, a substantial holder;</w:t>
      </w:r>
    </w:p>
    <w:p w14:paraId="113C5397" w14:textId="01F4F270" w:rsidR="00020DFE" w:rsidRDefault="00020DFE" w:rsidP="009B6E06">
      <w:pPr>
        <w:pStyle w:val="CUNumber1"/>
        <w:numPr>
          <w:ilvl w:val="0"/>
          <w:numId w:val="0"/>
        </w:numPr>
      </w:pPr>
    </w:p>
    <w:p w14:paraId="525F8D2A" w14:textId="4235F60E" w:rsidR="00020DFE" w:rsidRDefault="00020DFE" w:rsidP="00020DFE">
      <w:pPr>
        <w:pStyle w:val="CUNumber1"/>
      </w:pPr>
      <w:r>
        <w:t xml:space="preserve">has close </w:t>
      </w:r>
      <w:r w:rsidR="00BC29F4">
        <w:t xml:space="preserve">personal </w:t>
      </w:r>
      <w:r>
        <w:t>ties with a person who falls within any of the categories</w:t>
      </w:r>
      <w:r w:rsidR="00BC29F4">
        <w:t xml:space="preserve"> described above</w:t>
      </w:r>
      <w:r>
        <w:t>; or</w:t>
      </w:r>
    </w:p>
    <w:p w14:paraId="36B75EC6" w14:textId="75D891FA" w:rsidR="00020DFE" w:rsidRDefault="00020DFE" w:rsidP="00020DFE">
      <w:pPr>
        <w:pStyle w:val="CUNumber1"/>
      </w:pPr>
      <w:r>
        <w:t xml:space="preserve">has been a director of the Company for such a period that his or her independence </w:t>
      </w:r>
      <w:r w:rsidR="00BC29F4">
        <w:t xml:space="preserve">from management and substantial holders </w:t>
      </w:r>
      <w:r>
        <w:t>may have been compromised.</w:t>
      </w:r>
    </w:p>
    <w:p w14:paraId="6025C354" w14:textId="3F18162F" w:rsidR="00BC29F4" w:rsidRDefault="00BC29F4" w:rsidP="00BC29F4">
      <w:r>
        <w:t>In each case, the materiality of the interest, position or relationship needs to be assessed by the Board to determine whether it might interfere, or might reasonably be seen to interfere, with the director’s capacity to bring an independent judgement to bear on issues before the Board and to act in the best interests of the entity as a whole rather than in the interests of an individual’s security holder or other party.</w:t>
      </w:r>
    </w:p>
    <w:p w14:paraId="6B05FF73" w14:textId="77777777" w:rsidR="00BC29F4" w:rsidRDefault="00BC29F4" w:rsidP="00451A48"/>
    <w:sectPr w:rsidR="00BC29F4" w:rsidSect="007F5B04">
      <w:headerReference w:type="default" r:id="rId10"/>
      <w:footerReference w:type="even" r:id="rId11"/>
      <w:footerReference w:type="default" r:id="rId12"/>
      <w:headerReference w:type="first" r:id="rId13"/>
      <w:footerReference w:type="first" r:id="rId14"/>
      <w:endnotePr>
        <w:numFmt w:val="decimal"/>
      </w:endnotePr>
      <w:pgSz w:w="11906" w:h="16838" w:code="9"/>
      <w:pgMar w:top="1134" w:right="1134" w:bottom="1134" w:left="1418" w:header="107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0C343" w14:textId="77777777" w:rsidR="002C73E4" w:rsidRDefault="002C73E4">
      <w:r>
        <w:separator/>
      </w:r>
    </w:p>
  </w:endnote>
  <w:endnote w:type="continuationSeparator" w:id="0">
    <w:p w14:paraId="4FAE718A" w14:textId="77777777" w:rsidR="002C73E4" w:rsidRDefault="002C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8AE7" w14:textId="77777777" w:rsidR="002D1101" w:rsidRDefault="002D1101" w:rsidP="00CB3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BF4">
      <w:rPr>
        <w:rStyle w:val="PageNumber"/>
        <w:noProof/>
      </w:rPr>
      <w:t>9</w:t>
    </w:r>
    <w:r>
      <w:rPr>
        <w:rStyle w:val="PageNumber"/>
      </w:rPr>
      <w:fldChar w:fldCharType="end"/>
    </w:r>
  </w:p>
  <w:p w14:paraId="690D77BD" w14:textId="77777777" w:rsidR="002D1101" w:rsidRDefault="002C73E4">
    <w:pPr>
      <w:pStyle w:val="Footer"/>
      <w:ind w:right="360"/>
    </w:pPr>
    <w:r>
      <w:fldChar w:fldCharType="begin" w:fldLock="1"/>
    </w:r>
    <w:r>
      <w:instrText xml:space="preserve"> DOCVARIABLE  CUFooterText \* MERGEFORMAT </w:instrText>
    </w:r>
    <w:r>
      <w:fldChar w:fldCharType="separate"/>
    </w:r>
    <w:r w:rsidR="00A60C8E">
      <w:t>L\319018978.1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B5D5" w14:textId="1A17DB59" w:rsidR="002D1101" w:rsidRPr="00E05B45" w:rsidRDefault="000D0D2C" w:rsidP="00A5163C">
    <w:pPr>
      <w:pStyle w:val="Footer"/>
      <w:pBdr>
        <w:top w:val="single" w:sz="4" w:space="1" w:color="auto"/>
      </w:pBdr>
      <w:tabs>
        <w:tab w:val="clear" w:pos="4678"/>
      </w:tabs>
      <w:rPr>
        <w:szCs w:val="16"/>
      </w:rPr>
    </w:pPr>
    <w:r w:rsidRPr="000D0D2C">
      <w:rPr>
        <w:szCs w:val="16"/>
      </w:rPr>
      <w:t>All rights reserved. © 201</w:t>
    </w:r>
    <w:r w:rsidR="00BC29F4">
      <w:rPr>
        <w:szCs w:val="16"/>
      </w:rPr>
      <w:t>9</w:t>
    </w:r>
    <w:r w:rsidRPr="000D0D2C">
      <w:rPr>
        <w:szCs w:val="16"/>
      </w:rPr>
      <w:t xml:space="preserve"> Bravura Solutions Limited ABN 54 164 391 128 and its related bodies corporate.</w:t>
    </w:r>
    <w:r w:rsidR="008A513B">
      <w:rPr>
        <w:szCs w:val="16"/>
      </w:rPr>
      <w:tab/>
    </w:r>
    <w:r w:rsidR="005F6612">
      <w:fldChar w:fldCharType="begin"/>
    </w:r>
    <w:r w:rsidR="005F6612">
      <w:instrText xml:space="preserve"> PAGE   \* MERGEFORMAT </w:instrText>
    </w:r>
    <w:r w:rsidR="005F6612">
      <w:fldChar w:fldCharType="separate"/>
    </w:r>
    <w:r>
      <w:rPr>
        <w:noProof/>
      </w:rPr>
      <w:t>4</w:t>
    </w:r>
    <w:r w:rsidR="005F661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671F" w14:textId="77777777" w:rsidR="002D1101" w:rsidRPr="007F5B04" w:rsidRDefault="00C37DB9" w:rsidP="00C37DB9">
    <w:pPr>
      <w:pStyle w:val="Footer"/>
      <w:pBdr>
        <w:top w:val="single" w:sz="4" w:space="1" w:color="auto"/>
      </w:pBd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1F67E" w14:textId="77777777" w:rsidR="002C73E4" w:rsidRDefault="002C73E4">
      <w:r>
        <w:separator/>
      </w:r>
    </w:p>
  </w:footnote>
  <w:footnote w:type="continuationSeparator" w:id="0">
    <w:p w14:paraId="63BFADF7" w14:textId="77777777" w:rsidR="002C73E4" w:rsidRDefault="002C73E4">
      <w:r>
        <w:continuationSeparator/>
      </w:r>
    </w:p>
  </w:footnote>
  <w:footnote w:id="1">
    <w:p w14:paraId="4730D590" w14:textId="77777777" w:rsidR="000F02CB" w:rsidRPr="009B6E06" w:rsidRDefault="000F02CB">
      <w:pPr>
        <w:pStyle w:val="FootnoteText"/>
        <w:rPr>
          <w:color w:val="auto"/>
        </w:rPr>
      </w:pPr>
      <w:r w:rsidRPr="009B6E06">
        <w:rPr>
          <w:rStyle w:val="FootnoteReference"/>
          <w:color w:val="auto"/>
        </w:rPr>
        <w:footnoteRef/>
      </w:r>
      <w:r w:rsidRPr="009B6E06">
        <w:rPr>
          <w:color w:val="auto"/>
        </w:rPr>
        <w:t xml:space="preserve"> </w:t>
      </w:r>
      <w:r w:rsidR="00765F43" w:rsidRPr="009B6E06">
        <w:rPr>
          <w:color w:val="auto"/>
        </w:rPr>
        <w:t>Note an entity which is included in the S&amp;P/ASX300 index at the beginning of a financial year must have a remuneration committee comprised solely of non</w:t>
      </w:r>
      <w:r w:rsidR="00765F43" w:rsidRPr="009B6E06">
        <w:rPr>
          <w:color w:val="auto"/>
        </w:rPr>
        <w:noBreakHyphen/>
        <w:t>executive directors for the entirety of that financial year (LR 12.8).</w:t>
      </w:r>
    </w:p>
  </w:footnote>
  <w:footnote w:id="2">
    <w:p w14:paraId="377DDD64" w14:textId="77777777" w:rsidR="00A41693" w:rsidRPr="009B6E06" w:rsidRDefault="00A41693">
      <w:pPr>
        <w:pStyle w:val="FootnoteText"/>
        <w:rPr>
          <w:color w:val="auto"/>
        </w:rPr>
      </w:pPr>
      <w:r w:rsidRPr="009B6E06">
        <w:rPr>
          <w:rStyle w:val="FootnoteReference"/>
          <w:color w:val="auto"/>
        </w:rPr>
        <w:footnoteRef/>
      </w:r>
      <w:r w:rsidRPr="009B6E06">
        <w:rPr>
          <w:color w:val="auto"/>
        </w:rPr>
        <w:t xml:space="preserve"> Independent, as defined by the ASX Corporate Governance Council.  See schedule to this Charter.</w:t>
      </w:r>
    </w:p>
  </w:footnote>
  <w:footnote w:id="3">
    <w:p w14:paraId="7FE83E24" w14:textId="77777777" w:rsidR="00BC29F4" w:rsidRPr="009B6E06" w:rsidRDefault="00BC29F4" w:rsidP="00BC29F4">
      <w:pPr>
        <w:pStyle w:val="FootnoteText"/>
        <w:rPr>
          <w:color w:val="auto"/>
        </w:rPr>
      </w:pPr>
      <w:r w:rsidRPr="009B6E06">
        <w:rPr>
          <w:rStyle w:val="FootnoteReference"/>
          <w:color w:val="auto"/>
        </w:rPr>
        <w:footnoteRef/>
      </w:r>
      <w:r w:rsidRPr="009B6E06">
        <w:rPr>
          <w:color w:val="auto"/>
        </w:rPr>
        <w:t xml:space="preserve">  The factors relevant to assessing the independence of a director are set out in Box 2.3 under recommendation 2.3 of the Corporate Governance Principles and Recommendations (4</w:t>
      </w:r>
      <w:r w:rsidRPr="009B6E06">
        <w:rPr>
          <w:color w:val="auto"/>
          <w:vertAlign w:val="superscript"/>
        </w:rPr>
        <w:t>th</w:t>
      </w:r>
      <w:r w:rsidRPr="009B6E06">
        <w:rPr>
          <w:color w:val="auto"/>
        </w:rPr>
        <w:t xml:space="preserve"> edition).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496A" w14:textId="77777777" w:rsidR="005D255C" w:rsidRDefault="005D255C" w:rsidP="005D255C">
    <w:pPr>
      <w:pStyle w:val="Header"/>
    </w:pPr>
    <w:r>
      <w:rPr>
        <w:noProof/>
        <w:lang w:val="en-US"/>
      </w:rPr>
      <w:drawing>
        <wp:anchor distT="0" distB="0" distL="114300" distR="114300" simplePos="0" relativeHeight="251664384" behindDoc="1" locked="0" layoutInCell="1" allowOverlap="1" wp14:anchorId="18B6AB45" wp14:editId="32D53049">
          <wp:simplePos x="0" y="0"/>
          <wp:positionH relativeFrom="page">
            <wp:posOffset>5920105</wp:posOffset>
          </wp:positionH>
          <wp:positionV relativeFrom="page">
            <wp:posOffset>64770</wp:posOffset>
          </wp:positionV>
          <wp:extent cx="1540379" cy="90101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logo-01.jpg"/>
                  <pic:cNvPicPr/>
                </pic:nvPicPr>
                <pic:blipFill rotWithShape="1">
                  <a:blip r:embed="rId1">
                    <a:extLst>
                      <a:ext uri="{28A0092B-C50C-407E-A947-70E740481C1C}">
                        <a14:useLocalDpi xmlns:a14="http://schemas.microsoft.com/office/drawing/2010/main" val="0"/>
                      </a:ext>
                    </a:extLst>
                  </a:blip>
                  <a:srcRect t="19243"/>
                  <a:stretch/>
                </pic:blipFill>
                <pic:spPr bwMode="auto">
                  <a:xfrm>
                    <a:off x="0" y="0"/>
                    <a:ext cx="1540379" cy="9010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 xml:space="preserve">Remuneration &amp; Nomination Committee Charter </w:t>
    </w:r>
  </w:p>
  <w:p w14:paraId="49D94C36" w14:textId="77777777" w:rsidR="002D1101" w:rsidRPr="008A513B" w:rsidRDefault="002D1101" w:rsidP="008A5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F28E" w14:textId="2046A9BE" w:rsidR="005D255C" w:rsidRDefault="005D255C">
    <w:pPr>
      <w:pStyle w:val="Header"/>
    </w:pPr>
    <w:r w:rsidRPr="000D0D2C">
      <w:rPr>
        <w:noProof/>
        <w:sz w:val="14"/>
        <w:lang w:val="en-US"/>
      </w:rPr>
      <w:drawing>
        <wp:anchor distT="0" distB="0" distL="114300" distR="114300" simplePos="0" relativeHeight="251662336" behindDoc="1" locked="0" layoutInCell="1" allowOverlap="1" wp14:anchorId="37AA3F88" wp14:editId="1954042C">
          <wp:simplePos x="0" y="0"/>
          <wp:positionH relativeFrom="page">
            <wp:posOffset>5920105</wp:posOffset>
          </wp:positionH>
          <wp:positionV relativeFrom="page">
            <wp:posOffset>64770</wp:posOffset>
          </wp:positionV>
          <wp:extent cx="1540379" cy="90101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logo-01.jpg"/>
                  <pic:cNvPicPr/>
                </pic:nvPicPr>
                <pic:blipFill rotWithShape="1">
                  <a:blip r:embed="rId1">
                    <a:extLst>
                      <a:ext uri="{28A0092B-C50C-407E-A947-70E740481C1C}">
                        <a14:useLocalDpi xmlns:a14="http://schemas.microsoft.com/office/drawing/2010/main" val="0"/>
                      </a:ext>
                    </a:extLst>
                  </a:blip>
                  <a:srcRect t="19243"/>
                  <a:stretch/>
                </pic:blipFill>
                <pic:spPr bwMode="auto">
                  <a:xfrm>
                    <a:off x="0" y="0"/>
                    <a:ext cx="1540379" cy="9010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D0D2C" w:rsidRPr="000D0D2C">
      <w:rPr>
        <w:noProof/>
        <w:sz w:val="14"/>
        <w:lang w:val="en-US"/>
      </w:rPr>
      <w:t>All rights reserved. © 201</w:t>
    </w:r>
    <w:r w:rsidR="00BC29F4">
      <w:rPr>
        <w:noProof/>
        <w:sz w:val="14"/>
        <w:lang w:val="en-US"/>
      </w:rPr>
      <w:t>9</w:t>
    </w:r>
    <w:r w:rsidR="000D0D2C" w:rsidRPr="000D0D2C">
      <w:rPr>
        <w:noProof/>
        <w:sz w:val="14"/>
        <w:lang w:val="en-US"/>
      </w:rPr>
      <w:t xml:space="preserve"> Bravura Solutions Limited ABN 54 164 391 128 and its related bodies corporate.</w:t>
    </w:r>
    <w:r>
      <w:t xml:space="preserve"> </w:t>
    </w:r>
  </w:p>
  <w:p w14:paraId="7A5F1E27" w14:textId="77777777" w:rsidR="002D1101" w:rsidRPr="008A513B" w:rsidRDefault="002D1101" w:rsidP="008A5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0555240"/>
    <w:multiLevelType w:val="multilevel"/>
    <w:tmpl w:val="E1D689E4"/>
    <w:styleLink w:val="CUNumbering"/>
    <w:lvl w:ilvl="0">
      <w:start w:val="1"/>
      <w:numFmt w:val="decimal"/>
      <w:lvlRestart w:val="0"/>
      <w:pStyle w:val="CU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145D5A90"/>
    <w:multiLevelType w:val="multilevel"/>
    <w:tmpl w:val="22B620D0"/>
    <w:numStyleLink w:val="Annexures"/>
  </w:abstractNum>
  <w:abstractNum w:abstractNumId="3" w15:restartNumberingAfterBreak="0">
    <w:nsid w:val="188C57BD"/>
    <w:multiLevelType w:val="multilevel"/>
    <w:tmpl w:val="631A529E"/>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 w15:restartNumberingAfterBreak="0">
    <w:nsid w:val="18E12402"/>
    <w:multiLevelType w:val="multilevel"/>
    <w:tmpl w:val="A314BCF6"/>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5" w15:restartNumberingAfterBreak="0">
    <w:nsid w:val="19602D4E"/>
    <w:multiLevelType w:val="multilevel"/>
    <w:tmpl w:val="22B620D0"/>
    <w:numStyleLink w:val="Annexures"/>
  </w:abstractNum>
  <w:abstractNum w:abstractNumId="6" w15:restartNumberingAfterBreak="0">
    <w:nsid w:val="1D8E0B1B"/>
    <w:multiLevelType w:val="multilevel"/>
    <w:tmpl w:val="22B620D0"/>
    <w:styleLink w:val="Annexures"/>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7" w15:restartNumberingAfterBreak="0">
    <w:nsid w:val="21230453"/>
    <w:multiLevelType w:val="multilevel"/>
    <w:tmpl w:val="354C1148"/>
    <w:numStyleLink w:val="Attachments"/>
  </w:abstractNum>
  <w:abstractNum w:abstractNumId="8" w15:restartNumberingAfterBreak="0">
    <w:nsid w:val="22123B3F"/>
    <w:multiLevelType w:val="multilevel"/>
    <w:tmpl w:val="354C1148"/>
    <w:styleLink w:val="Attachments"/>
    <w:lvl w:ilvl="0">
      <w:start w:val="1"/>
      <w:numFmt w:val="decimal"/>
      <w:suff w:val="space"/>
      <w:lvlText w:val="Attachment %1 "/>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24464483"/>
    <w:multiLevelType w:val="multilevel"/>
    <w:tmpl w:val="2F5C50BC"/>
    <w:lvl w:ilvl="0">
      <w:start w:val="1"/>
      <w:numFmt w:val="bullet"/>
      <w:lvlText w:val=""/>
      <w:lvlJc w:val="left"/>
      <w:pPr>
        <w:tabs>
          <w:tab w:val="num" w:pos="964"/>
        </w:tabs>
        <w:ind w:left="964" w:hanging="964"/>
      </w:pPr>
      <w:rPr>
        <w:rFonts w:ascii="Symbol" w:hAnsi="Symbol" w:hint="default"/>
      </w:rPr>
    </w:lvl>
    <w:lvl w:ilvl="1">
      <w:start w:val="1"/>
      <w:numFmt w:val="upperLetter"/>
      <w:lvlText w:val="%2."/>
      <w:lvlJc w:val="left"/>
      <w:pPr>
        <w:tabs>
          <w:tab w:val="num" w:pos="2044"/>
        </w:tabs>
        <w:ind w:left="2044" w:hanging="964"/>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23370"/>
    <w:multiLevelType w:val="multilevel"/>
    <w:tmpl w:val="BB680662"/>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1" w15:restartNumberingAfterBreak="0">
    <w:nsid w:val="3C9157C0"/>
    <w:multiLevelType w:val="multilevel"/>
    <w:tmpl w:val="9FD8B506"/>
    <w:styleLink w:val="CUIndent"/>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2" w15:restartNumberingAfterBreak="0">
    <w:nsid w:val="41F92829"/>
    <w:multiLevelType w:val="multilevel"/>
    <w:tmpl w:val="603AFEC0"/>
    <w:styleLink w:val="Exhibits"/>
    <w:lvl w:ilvl="0">
      <w:start w:val="1"/>
      <w:numFmt w:val="decimal"/>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3" w15:restartNumberingAfterBreak="0">
    <w:nsid w:val="42173A39"/>
    <w:multiLevelType w:val="multilevel"/>
    <w:tmpl w:val="603AFEC0"/>
    <w:numStyleLink w:val="Exhibits"/>
  </w:abstractNum>
  <w:abstractNum w:abstractNumId="14"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4F7DEF"/>
    <w:multiLevelType w:val="multilevel"/>
    <w:tmpl w:val="C53C2864"/>
    <w:styleLink w:val="Headings"/>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hint="default"/>
        <w:b w:val="0"/>
        <w:i w:val="0"/>
        <w:u w:val="none"/>
      </w:rPr>
    </w:lvl>
    <w:lvl w:ilvl="3">
      <w:start w:val="1"/>
      <w:numFmt w:val="lowerRoman"/>
      <w:pStyle w:val="Heading4"/>
      <w:lvlText w:val="(%4)"/>
      <w:lvlJc w:val="left"/>
      <w:pPr>
        <w:tabs>
          <w:tab w:val="num" w:pos="2892"/>
        </w:tabs>
        <w:ind w:left="289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abstractNum w:abstractNumId="16" w15:restartNumberingAfterBreak="0">
    <w:nsid w:val="4D53272F"/>
    <w:multiLevelType w:val="multilevel"/>
    <w:tmpl w:val="E1D689E4"/>
    <w:numStyleLink w:val="CUNumbering"/>
  </w:abstractNum>
  <w:abstractNum w:abstractNumId="17" w15:restartNumberingAfterBreak="0">
    <w:nsid w:val="526A72DA"/>
    <w:multiLevelType w:val="multilevel"/>
    <w:tmpl w:val="A25081AA"/>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18" w15:restartNumberingAfterBreak="0">
    <w:nsid w:val="56694DCD"/>
    <w:multiLevelType w:val="multilevel"/>
    <w:tmpl w:val="9CB8B906"/>
    <w:numStyleLink w:val="Schedules"/>
  </w:abstractNum>
  <w:abstractNum w:abstractNumId="19"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1"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2" w15:restartNumberingAfterBreak="0">
    <w:nsid w:val="5B244C05"/>
    <w:multiLevelType w:val="multilevel"/>
    <w:tmpl w:val="048AA4A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3" w15:restartNumberingAfterBreak="0">
    <w:nsid w:val="5F3B3215"/>
    <w:multiLevelType w:val="multilevel"/>
    <w:tmpl w:val="9CB8B906"/>
    <w:numStyleLink w:val="Schedules"/>
  </w:abstractNum>
  <w:abstractNum w:abstractNumId="24" w15:restartNumberingAfterBreak="0">
    <w:nsid w:val="63993352"/>
    <w:multiLevelType w:val="multilevel"/>
    <w:tmpl w:val="6CFED974"/>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upperLetter"/>
      <w:lvlText w:val="%2."/>
      <w:lvlJc w:val="left"/>
      <w:pPr>
        <w:tabs>
          <w:tab w:val="num" w:pos="2044"/>
        </w:tabs>
        <w:ind w:left="2044" w:hanging="964"/>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8F6EA8"/>
    <w:multiLevelType w:val="multilevel"/>
    <w:tmpl w:val="79481ED2"/>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F4E4AF3"/>
    <w:multiLevelType w:val="multilevel"/>
    <w:tmpl w:val="4D38E810"/>
    <w:lvl w:ilvl="0">
      <w:start w:val="1"/>
      <w:numFmt w:val="decimal"/>
      <w:lvlRestart w:val="0"/>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7" w15:restartNumberingAfterBreak="0">
    <w:nsid w:val="752B4A17"/>
    <w:multiLevelType w:val="multilevel"/>
    <w:tmpl w:val="D354F8D6"/>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8" w15:restartNumberingAfterBreak="0">
    <w:nsid w:val="752F60BE"/>
    <w:multiLevelType w:val="multilevel"/>
    <w:tmpl w:val="9CB8B906"/>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hint="default"/>
      </w:rPr>
    </w:lvl>
    <w:lvl w:ilvl="4">
      <w:start w:val="1"/>
      <w:numFmt w:val="lowerRoman"/>
      <w:pStyle w:val="Schedule4"/>
      <w:lvlText w:val="(%5)"/>
      <w:lvlJc w:val="left"/>
      <w:pPr>
        <w:tabs>
          <w:tab w:val="num" w:pos="2892"/>
        </w:tabs>
        <w:ind w:left="2892" w:hanging="964"/>
      </w:pPr>
      <w:rPr>
        <w:rFonts w:hint="default"/>
      </w:rPr>
    </w:lvl>
    <w:lvl w:ilvl="5">
      <w:start w:val="1"/>
      <w:numFmt w:val="upperLetter"/>
      <w:pStyle w:val="Schedule5"/>
      <w:lvlText w:val="%6."/>
      <w:lvlJc w:val="left"/>
      <w:pPr>
        <w:tabs>
          <w:tab w:val="num" w:pos="3856"/>
        </w:tabs>
        <w:ind w:left="3856" w:hanging="964"/>
      </w:pPr>
      <w:rPr>
        <w:rFonts w:hint="default"/>
      </w:rPr>
    </w:lvl>
    <w:lvl w:ilvl="6">
      <w:start w:val="1"/>
      <w:numFmt w:val="decimal"/>
      <w:pStyle w:val="Schedule6"/>
      <w:lvlText w:val="%7)"/>
      <w:lvlJc w:val="left"/>
      <w:pPr>
        <w:tabs>
          <w:tab w:val="num" w:pos="4820"/>
        </w:tabs>
        <w:ind w:left="4820" w:hanging="964"/>
      </w:pPr>
      <w:rPr>
        <w:rFonts w:hint="default"/>
      </w:rPr>
    </w:lvl>
    <w:lvl w:ilvl="7">
      <w:start w:val="1"/>
      <w:numFmt w:val="lowerLetter"/>
      <w:pStyle w:val="Schedule7"/>
      <w:lvlText w:val="%8)"/>
      <w:lvlJc w:val="left"/>
      <w:pPr>
        <w:tabs>
          <w:tab w:val="num" w:pos="5783"/>
        </w:tabs>
        <w:ind w:left="5783" w:hanging="963"/>
      </w:pPr>
      <w:rPr>
        <w:rFonts w:hint="default"/>
      </w:rPr>
    </w:lvl>
    <w:lvl w:ilvl="8">
      <w:start w:val="1"/>
      <w:numFmt w:val="lowerRoman"/>
      <w:pStyle w:val="Schedule8"/>
      <w:lvlText w:val="%9)"/>
      <w:lvlJc w:val="left"/>
      <w:pPr>
        <w:tabs>
          <w:tab w:val="num" w:pos="6747"/>
        </w:tabs>
        <w:ind w:left="6747" w:hanging="964"/>
      </w:pPr>
      <w:rPr>
        <w:rFonts w:hint="default"/>
      </w:rPr>
    </w:lvl>
  </w:abstractNum>
  <w:abstractNum w:abstractNumId="29" w15:restartNumberingAfterBreak="0">
    <w:nsid w:val="78B5053C"/>
    <w:multiLevelType w:val="multilevel"/>
    <w:tmpl w:val="D60C3738"/>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790577E2"/>
    <w:multiLevelType w:val="multilevel"/>
    <w:tmpl w:val="04207F58"/>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7C436CCD"/>
    <w:multiLevelType w:val="multilevel"/>
    <w:tmpl w:val="3CDC4586"/>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32" w15:restartNumberingAfterBreak="0">
    <w:nsid w:val="7F9A1C6A"/>
    <w:multiLevelType w:val="multilevel"/>
    <w:tmpl w:val="CF92981A"/>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abstractNumId w:val="30"/>
  </w:num>
  <w:num w:numId="2">
    <w:abstractNumId w:val="21"/>
  </w:num>
  <w:num w:numId="3">
    <w:abstractNumId w:val="29"/>
  </w:num>
  <w:num w:numId="4">
    <w:abstractNumId w:val="29"/>
  </w:num>
  <w:num w:numId="5">
    <w:abstractNumId w:val="19"/>
  </w:num>
  <w:num w:numId="6">
    <w:abstractNumId w:val="1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0"/>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15"/>
  </w:num>
  <w:num w:numId="17">
    <w:abstractNumId w:val="28"/>
  </w:num>
  <w:num w:numId="18">
    <w:abstractNumId w:val="16"/>
  </w:num>
  <w:num w:numId="19">
    <w:abstractNumId w:val="22"/>
  </w:num>
  <w:num w:numId="20">
    <w:abstractNumId w:val="6"/>
  </w:num>
  <w:num w:numId="21">
    <w:abstractNumId w:val="8"/>
  </w:num>
  <w:num w:numId="22">
    <w:abstractNumId w:val="12"/>
  </w:num>
  <w:num w:numId="23">
    <w:abstractNumId w:val="18"/>
  </w:num>
  <w:num w:numId="24">
    <w:abstractNumId w:val="11"/>
  </w:num>
  <w:num w:numId="25">
    <w:abstractNumId w:val="26"/>
  </w:num>
  <w:num w:numId="26">
    <w:abstractNumId w:val="3"/>
  </w:num>
  <w:num w:numId="27">
    <w:abstractNumId w:val="24"/>
  </w:num>
  <w:num w:numId="28">
    <w:abstractNumId w:val="32"/>
  </w:num>
  <w:num w:numId="29">
    <w:abstractNumId w:val="31"/>
  </w:num>
  <w:num w:numId="30">
    <w:abstractNumId w:val="20"/>
  </w:num>
  <w:num w:numId="31">
    <w:abstractNumId w:val="9"/>
  </w:num>
  <w:num w:numId="32">
    <w:abstractNumId w:val="17"/>
  </w:num>
  <w:num w:numId="33">
    <w:abstractNumId w:val="4"/>
  </w:num>
  <w:num w:numId="34">
    <w:abstractNumId w:val="23"/>
  </w:num>
  <w:num w:numId="35">
    <w:abstractNumId w:val="5"/>
  </w:num>
  <w:num w:numId="36">
    <w:abstractNumId w:val="7"/>
  </w:num>
  <w:num w:numId="37">
    <w:abstractNumId w:val="13"/>
  </w:num>
  <w:num w:numId="38">
    <w:abstractNumId w:val="2"/>
  </w:num>
  <w:num w:numId="3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96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AutoFooter" w:val="-1"/>
    <w:docVar w:name="CUFooterText" w:val="L\319018978.1"/>
    <w:docVar w:name="IDDAcAddress" w:val="Level 15  1 Bligh Street"/>
    <w:docVar w:name="IDDAcPODX" w:val="GPO Box 9806_x000d_Sydney  NSW  2001"/>
    <w:docVar w:name="IDDAcref" w:val="722/17644/80168507"/>
    <w:docVar w:name="IDDActp" w:val="tp"/>
    <w:docVar w:name="IDDACUO" w:val="Sydney"/>
    <w:docVar w:name="IDDACUO_Add1" w:val="Level 15"/>
    <w:docVar w:name="IDDACUO_Add1Service" w:val="Level 15"/>
    <w:docVar w:name="IDDACUO_Add2" w:val="1 Bligh Street"/>
    <w:docVar w:name="IDDACUO_BuildingName" w:val="﻿"/>
    <w:docVar w:name="IDDACUO_City" w:val="Sydney"/>
    <w:docVar w:name="IDDACUO_Code" w:val="﻿"/>
    <w:docVar w:name="IDDACUO_Country" w:val="Australia"/>
    <w:docVar w:name="IDDACUO_DBInsertedFields" w:val="Code,Office,FirmName1,FirmName2,Add1,Add1Service,Add2,City,State,Pcode,Country,SearchAdd,MailAdd1,MailAdd2,MailPcode,DXAdd1,DXAdd2,Web,TelPrefix,TelExt,FaxPrefix,FaxExt,TelPreLoc,FaxPreLoc,UnitLevel,BuildingName,StreetNo,StreetName,StreetType,EService"/>
    <w:docVar w:name="IDDACUO_DXAdd1" w:val="DX 370"/>
    <w:docVar w:name="IDDACUO_DXAdd2" w:val="Sydney"/>
    <w:docVar w:name="IDDACUO_EService" w:val="service@claytonutz.com"/>
    <w:docVar w:name="IDDACUO_FaxExt" w:val="6700"/>
    <w:docVar w:name="IDDACUO_FaxPrefix" w:val="+61 2 8220"/>
    <w:docVar w:name="IDDACUO_FaxPreLoc" w:val="(02) 8220"/>
    <w:docVar w:name="IDDACUO_FirmName1" w:val="Clayton Utz"/>
    <w:docVar w:name="IDDACUO_FirmName2" w:val="Lawyers"/>
    <w:docVar w:name="IDDACUO_MailAdd1" w:val="GPO Box 9806"/>
    <w:docVar w:name="IDDACUO_MailAdd2" w:val="Sydney"/>
    <w:docVar w:name="IDDACUO_MailPcode" w:val="2001"/>
    <w:docVar w:name="IDDACUO_Office" w:val="Sydney"/>
    <w:docVar w:name="IDDACUO_Pcode" w:val="2000"/>
    <w:docVar w:name="IDDACUO_SearchAdd" w:val="Level 15, 1 Bligh Street, Sydney"/>
    <w:docVar w:name="IDDACUO_State" w:val="NSW"/>
    <w:docVar w:name="IDDACUO_StreetName" w:val="﻿"/>
    <w:docVar w:name="IDDACUO_StreetNo" w:val="﻿"/>
    <w:docVar w:name="IDDACUO_StreetType" w:val="﻿"/>
    <w:docVar w:name="IDDACUO_TelExt" w:val="4000"/>
    <w:docVar w:name="IDDACUO_TelPrefix" w:val="+61 2 9353"/>
    <w:docVar w:name="IDDACUO_TelPreLoc" w:val="(02) 9353"/>
    <w:docVar w:name="IDDACUO_UnitLevel" w:val="﻿"/>
    <w:docVar w:name="IDDACUO_Web" w:val="www.claytonutz.com"/>
    <w:docVar w:name="IDDADASetCUO" w:val="Usersite"/>
    <w:docVar w:name="IDDAN2" w:val="722"/>
    <w:docVar w:name="IDDAN2_CertNo" w:val="24370"/>
    <w:docVar w:name="IDDAN2_Email" w:val="sbyrne@claytonutz.com"/>
    <w:docVar w:name="IDDAN2_Fax" w:val="+61 2 8220 6700"/>
    <w:docVar w:name="IDDAN2_FirstName" w:val="Stuart"/>
    <w:docVar w:name="IDDAN2_Gender" w:val="M"/>
    <w:docVar w:name="IDDAN2_Initials" w:val="SPB"/>
    <w:docVar w:name="IDDAN2_LogonId" w:val="SBYRNE"/>
    <w:docVar w:name="IDDAN2_MiddleName" w:val="Peter"/>
    <w:docVar w:name="IDDAN2_Mobile" w:val="﻿"/>
    <w:docVar w:name="IDDAN2_Name" w:val="Stuart Peter Byrne"/>
    <w:docVar w:name="IDDAN2_NameDistinction" w:val="﻿"/>
    <w:docVar w:name="IDDAN2_Phone" w:val="+61 2 9353 4722"/>
    <w:docVar w:name="IDDAN2_Position" w:val="Partner"/>
    <w:docVar w:name="IDDAN2_PreferredName" w:val="Stuart Byrne"/>
    <w:docVar w:name="IDDAN2_SignTitle" w:val="Partner"/>
    <w:docVar w:name="IDDAN2_Surname" w:val="Byrne"/>
    <w:docVar w:name="IDDAN2_Title" w:val="Mr"/>
    <w:docVar w:name="IDDAN3" w:val="17644"/>
    <w:docVar w:name="IDDAN3_CertNo" w:val="481256"/>
    <w:docVar w:name="IDDAN3_Email" w:val="ppaton@claytonutz.com"/>
    <w:docVar w:name="IDDAN3_Fax" w:val="+61 2 8220 6700"/>
    <w:docVar w:name="IDDAN3_FirstName" w:val="Patricia"/>
    <w:docVar w:name="IDDAN3_Gender" w:val="F"/>
    <w:docVar w:name="IDDAN3_Initials" w:val="PP"/>
    <w:docVar w:name="IDDAN3_LogonId" w:val="PPATON"/>
    <w:docVar w:name="IDDAN3_MiddleName" w:val="﻿"/>
    <w:docVar w:name="IDDAN3_Mobile" w:val="﻿"/>
    <w:docVar w:name="IDDAN3_Name" w:val="Patricia Paton"/>
    <w:docVar w:name="IDDAN3_NameDistinction" w:val="﻿"/>
    <w:docVar w:name="IDDAN3_Phone" w:val="+61 2 9353 5515"/>
    <w:docVar w:name="IDDAN3_Position" w:val="Senior Associate"/>
    <w:docVar w:name="IDDAN3_PreferredName" w:val="Patricia Paton"/>
    <w:docVar w:name="IDDAN3_SignTitle" w:val="Senior Associate"/>
    <w:docVar w:name="IDDAN3_Surname" w:val="Paton"/>
    <w:docVar w:name="IDDAN3_Title" w:val="﻿"/>
    <w:docVar w:name="IDDAN4" w:val="80168507"/>
    <w:docVar w:name="IDDOptDocId" w:val="﻿"/>
    <w:docVar w:name="IDDOptUpdDocUsed" w:val="Y"/>
    <w:docVar w:name="IDDOutputType" w:val="DOCVARIABLE"/>
    <w:docVar w:name="IDDOutputTypeHash" w:val="﻿"/>
    <w:docVar w:name="IDDRShowPath" w:val="Y"/>
    <w:docVar w:name="IDDRSort" w:val="Y"/>
    <w:docVar w:name="mcAddress" w:val="Level 15  1 Bligh Street"/>
    <w:docVar w:name="mcLiab" w:val="﻿"/>
    <w:docVar w:name="mcPODX" w:val="GPO Box 9806_x000d_Sydney  NSW  2001"/>
    <w:docVar w:name="mcref" w:val="722/17644/80168507"/>
    <w:docVar w:name="mctp" w:val="tp"/>
    <w:docVar w:name="mCUO" w:val="Sydney"/>
    <w:docVar w:name="mCUO_Add1" w:val="Level 15"/>
    <w:docVar w:name="mCUO_Add1Service" w:val="Level 15"/>
    <w:docVar w:name="mCUO_Add2" w:val="1 Bligh Street"/>
    <w:docVar w:name="mCUO_BuildingName" w:val="﻿"/>
    <w:docVar w:name="mCUO_City" w:val="Sydney"/>
    <w:docVar w:name="mCUO_Code" w:val="﻿"/>
    <w:docVar w:name="mCUO_Country" w:val="Australia"/>
    <w:docVar w:name="mCUO_DXAdd1" w:val="DX 370"/>
    <w:docVar w:name="mCUO_DXAdd2" w:val="Sydney"/>
    <w:docVar w:name="mCUO_EService" w:val="service@claytonutz.com"/>
    <w:docVar w:name="mCUO_FaxExt" w:val="6700"/>
    <w:docVar w:name="mCUO_FaxPrefix" w:val="+61 2 8220"/>
    <w:docVar w:name="mCUO_FaxPreLoc" w:val="(02) 8220"/>
    <w:docVar w:name="mCUO_FirmName1" w:val="Clayton Utz"/>
    <w:docVar w:name="mCUO_FirmName2" w:val="Lawyers"/>
    <w:docVar w:name="mCUO_MailAdd1" w:val="GPO Box 9806"/>
    <w:docVar w:name="mCUO_MailAdd2" w:val="Sydney"/>
    <w:docVar w:name="mCUO_MailPcode" w:val="2001"/>
    <w:docVar w:name="mCUO_Office" w:val="Sydney"/>
    <w:docVar w:name="mCUO_Pcode" w:val="2000"/>
    <w:docVar w:name="mCUO_SearchAdd" w:val="Level 15, 1 Bligh Street, Sydney"/>
    <w:docVar w:name="mCUO_State" w:val="NSW"/>
    <w:docVar w:name="mCUO_StreetName" w:val="﻿"/>
    <w:docVar w:name="mCUO_StreetNo" w:val="﻿"/>
    <w:docVar w:name="mCUO_StreetType" w:val="﻿"/>
    <w:docVar w:name="mCUO_TelExt" w:val="4000"/>
    <w:docVar w:name="mCUO_TelPrefix" w:val="+61 2 9353"/>
    <w:docVar w:name="mCUO_TelPreLoc" w:val="(02) 9353"/>
    <w:docVar w:name="mCUO_UnitLevel" w:val="﻿"/>
    <w:docVar w:name="mCUO_Web" w:val="www.claytonutz.com"/>
    <w:docVar w:name="mDASetCUO" w:val="Usersite"/>
    <w:docVar w:name="mN2" w:val="722"/>
    <w:docVar w:name="mN2_CertNo" w:val="24370"/>
    <w:docVar w:name="mN2_Email" w:val="sbyrne@claytonutz.com"/>
    <w:docVar w:name="mN2_Fax" w:val="+61 2 8220 6700"/>
    <w:docVar w:name="mN2_FirstName" w:val="Stuart"/>
    <w:docVar w:name="mN2_Gender" w:val="M"/>
    <w:docVar w:name="mN2_Initials" w:val="SPB"/>
    <w:docVar w:name="mN2_LogonId" w:val="SBYRNE"/>
    <w:docVar w:name="mN2_MiddleName" w:val="Peter"/>
    <w:docVar w:name="mN2_Mobile" w:val="﻿"/>
    <w:docVar w:name="mN2_Name" w:val="Stuart Peter Byrne"/>
    <w:docVar w:name="mN2_NameDistinction" w:val="﻿"/>
    <w:docVar w:name="mN2_Phone" w:val="+61 2 9353 4722"/>
    <w:docVar w:name="mN2_Position" w:val="Partner"/>
    <w:docVar w:name="mN2_PreferredName" w:val="Stuart Byrne"/>
    <w:docVar w:name="mN2_SignTitle" w:val="Partner"/>
    <w:docVar w:name="mN2_Surname" w:val="Byrne"/>
    <w:docVar w:name="mN2_Title" w:val="Mr"/>
    <w:docVar w:name="mN3" w:val="17644"/>
    <w:docVar w:name="mN3_CertNo" w:val="481256"/>
    <w:docVar w:name="mN3_Email" w:val="ppaton@claytonutz.com"/>
    <w:docVar w:name="mN3_Fax" w:val="+61 2 8220 6700"/>
    <w:docVar w:name="mN3_FirstName" w:val="Patricia"/>
    <w:docVar w:name="mN3_Gender" w:val="F"/>
    <w:docVar w:name="mN3_Initials" w:val="PP"/>
    <w:docVar w:name="mN3_LogonId" w:val="PPATON"/>
    <w:docVar w:name="mN3_MiddleName" w:val="﻿"/>
    <w:docVar w:name="mN3_Mobile" w:val="﻿"/>
    <w:docVar w:name="mN3_Name" w:val="Patricia Paton"/>
    <w:docVar w:name="mN3_NameDistinction" w:val="﻿"/>
    <w:docVar w:name="mN3_Phone" w:val="+61 2 9353 5515"/>
    <w:docVar w:name="mN3_Position" w:val="Senior Associate"/>
    <w:docVar w:name="mN3_PreferredName" w:val="Patricia Paton"/>
    <w:docVar w:name="mN3_SignTitle" w:val="Senior Associate"/>
    <w:docVar w:name="mN3_Surname" w:val="Paton"/>
    <w:docVar w:name="mN3_Title" w:val="﻿"/>
    <w:docVar w:name="mN4" w:val="80168507"/>
  </w:docVars>
  <w:rsids>
    <w:rsidRoot w:val="00A218DE"/>
    <w:rsid w:val="00001824"/>
    <w:rsid w:val="0000573D"/>
    <w:rsid w:val="00006229"/>
    <w:rsid w:val="000104FF"/>
    <w:rsid w:val="000158D0"/>
    <w:rsid w:val="00017EE1"/>
    <w:rsid w:val="00020DFE"/>
    <w:rsid w:val="000236A2"/>
    <w:rsid w:val="00025D98"/>
    <w:rsid w:val="0002740C"/>
    <w:rsid w:val="000335F5"/>
    <w:rsid w:val="0003532B"/>
    <w:rsid w:val="00040392"/>
    <w:rsid w:val="00057860"/>
    <w:rsid w:val="000620AB"/>
    <w:rsid w:val="000714A0"/>
    <w:rsid w:val="000727FB"/>
    <w:rsid w:val="000857BC"/>
    <w:rsid w:val="000942D5"/>
    <w:rsid w:val="00095331"/>
    <w:rsid w:val="000A0A58"/>
    <w:rsid w:val="000A0AB1"/>
    <w:rsid w:val="000B4010"/>
    <w:rsid w:val="000B44F3"/>
    <w:rsid w:val="000B526C"/>
    <w:rsid w:val="000B79D7"/>
    <w:rsid w:val="000C7A7B"/>
    <w:rsid w:val="000D0D2C"/>
    <w:rsid w:val="000D2C78"/>
    <w:rsid w:val="000D65AC"/>
    <w:rsid w:val="000D69AC"/>
    <w:rsid w:val="000D6B0F"/>
    <w:rsid w:val="000D7C4A"/>
    <w:rsid w:val="000E1536"/>
    <w:rsid w:val="000E797D"/>
    <w:rsid w:val="000F02CB"/>
    <w:rsid w:val="000F4717"/>
    <w:rsid w:val="00105E7D"/>
    <w:rsid w:val="001072A1"/>
    <w:rsid w:val="001123DB"/>
    <w:rsid w:val="001126FD"/>
    <w:rsid w:val="0011323A"/>
    <w:rsid w:val="00117AEB"/>
    <w:rsid w:val="001207B0"/>
    <w:rsid w:val="00125CDE"/>
    <w:rsid w:val="00134F52"/>
    <w:rsid w:val="001460D6"/>
    <w:rsid w:val="00147464"/>
    <w:rsid w:val="00153440"/>
    <w:rsid w:val="00154E11"/>
    <w:rsid w:val="001621BB"/>
    <w:rsid w:val="00164AB3"/>
    <w:rsid w:val="00167D7C"/>
    <w:rsid w:val="00173507"/>
    <w:rsid w:val="00173EF9"/>
    <w:rsid w:val="001742E9"/>
    <w:rsid w:val="00180070"/>
    <w:rsid w:val="00180555"/>
    <w:rsid w:val="00180B4D"/>
    <w:rsid w:val="00187581"/>
    <w:rsid w:val="001904C6"/>
    <w:rsid w:val="0019269A"/>
    <w:rsid w:val="0019342A"/>
    <w:rsid w:val="00194412"/>
    <w:rsid w:val="00195225"/>
    <w:rsid w:val="00197EF2"/>
    <w:rsid w:val="001A0DCD"/>
    <w:rsid w:val="001A1A9E"/>
    <w:rsid w:val="001A1BF1"/>
    <w:rsid w:val="001A3BEE"/>
    <w:rsid w:val="001A5BF4"/>
    <w:rsid w:val="001A61DA"/>
    <w:rsid w:val="001A6B90"/>
    <w:rsid w:val="001A7CDC"/>
    <w:rsid w:val="001B44AE"/>
    <w:rsid w:val="001B684A"/>
    <w:rsid w:val="001B749A"/>
    <w:rsid w:val="001B7A22"/>
    <w:rsid w:val="001C2CCF"/>
    <w:rsid w:val="001C484F"/>
    <w:rsid w:val="001C7304"/>
    <w:rsid w:val="001C7AEB"/>
    <w:rsid w:val="001C7B52"/>
    <w:rsid w:val="001D1660"/>
    <w:rsid w:val="001D6E03"/>
    <w:rsid w:val="001D6E27"/>
    <w:rsid w:val="001E0525"/>
    <w:rsid w:val="001E4FD8"/>
    <w:rsid w:val="001E5111"/>
    <w:rsid w:val="001E69D7"/>
    <w:rsid w:val="001E6EB9"/>
    <w:rsid w:val="001F024B"/>
    <w:rsid w:val="001F086F"/>
    <w:rsid w:val="001F137E"/>
    <w:rsid w:val="001F160C"/>
    <w:rsid w:val="001F23A3"/>
    <w:rsid w:val="0020124E"/>
    <w:rsid w:val="00201B0D"/>
    <w:rsid w:val="00202F60"/>
    <w:rsid w:val="00212157"/>
    <w:rsid w:val="00213D45"/>
    <w:rsid w:val="0022594B"/>
    <w:rsid w:val="00230CE8"/>
    <w:rsid w:val="00231E5F"/>
    <w:rsid w:val="002326C0"/>
    <w:rsid w:val="00233BD6"/>
    <w:rsid w:val="0023667C"/>
    <w:rsid w:val="00241351"/>
    <w:rsid w:val="00244517"/>
    <w:rsid w:val="00252DB5"/>
    <w:rsid w:val="00254006"/>
    <w:rsid w:val="002606C8"/>
    <w:rsid w:val="002707D8"/>
    <w:rsid w:val="0028028B"/>
    <w:rsid w:val="00283B90"/>
    <w:rsid w:val="002840C4"/>
    <w:rsid w:val="00296F7E"/>
    <w:rsid w:val="002A5F4B"/>
    <w:rsid w:val="002B389A"/>
    <w:rsid w:val="002B420F"/>
    <w:rsid w:val="002B6F69"/>
    <w:rsid w:val="002C0E80"/>
    <w:rsid w:val="002C1673"/>
    <w:rsid w:val="002C5756"/>
    <w:rsid w:val="002C73E4"/>
    <w:rsid w:val="002D0D24"/>
    <w:rsid w:val="002D1101"/>
    <w:rsid w:val="002D1B97"/>
    <w:rsid w:val="002D4E27"/>
    <w:rsid w:val="002D66C8"/>
    <w:rsid w:val="002E474A"/>
    <w:rsid w:val="002E689B"/>
    <w:rsid w:val="002E6B20"/>
    <w:rsid w:val="002F4B70"/>
    <w:rsid w:val="00303DCF"/>
    <w:rsid w:val="00306A16"/>
    <w:rsid w:val="00311695"/>
    <w:rsid w:val="00330964"/>
    <w:rsid w:val="0033247E"/>
    <w:rsid w:val="003342AC"/>
    <w:rsid w:val="00336C15"/>
    <w:rsid w:val="003514CF"/>
    <w:rsid w:val="003566FF"/>
    <w:rsid w:val="003577CC"/>
    <w:rsid w:val="00362A33"/>
    <w:rsid w:val="00367D09"/>
    <w:rsid w:val="00371662"/>
    <w:rsid w:val="00371D2C"/>
    <w:rsid w:val="00374196"/>
    <w:rsid w:val="003800AD"/>
    <w:rsid w:val="0038229E"/>
    <w:rsid w:val="00384D78"/>
    <w:rsid w:val="00390A21"/>
    <w:rsid w:val="00394507"/>
    <w:rsid w:val="00396432"/>
    <w:rsid w:val="003966CD"/>
    <w:rsid w:val="00397DC9"/>
    <w:rsid w:val="003A587F"/>
    <w:rsid w:val="003A6748"/>
    <w:rsid w:val="003B5CBE"/>
    <w:rsid w:val="003C0761"/>
    <w:rsid w:val="003C4AC0"/>
    <w:rsid w:val="003C784E"/>
    <w:rsid w:val="003D3B4F"/>
    <w:rsid w:val="003D74FB"/>
    <w:rsid w:val="003E15A2"/>
    <w:rsid w:val="003F10BE"/>
    <w:rsid w:val="00401DBF"/>
    <w:rsid w:val="00404632"/>
    <w:rsid w:val="00406E98"/>
    <w:rsid w:val="0041019A"/>
    <w:rsid w:val="00412258"/>
    <w:rsid w:val="00413866"/>
    <w:rsid w:val="0042182D"/>
    <w:rsid w:val="004232F6"/>
    <w:rsid w:val="0043263C"/>
    <w:rsid w:val="00433272"/>
    <w:rsid w:val="00437CD0"/>
    <w:rsid w:val="004432F6"/>
    <w:rsid w:val="00444C9F"/>
    <w:rsid w:val="00445F13"/>
    <w:rsid w:val="00447E45"/>
    <w:rsid w:val="00451A48"/>
    <w:rsid w:val="00454C05"/>
    <w:rsid w:val="004557FD"/>
    <w:rsid w:val="00456F4B"/>
    <w:rsid w:val="00461075"/>
    <w:rsid w:val="00463DAD"/>
    <w:rsid w:val="0047209D"/>
    <w:rsid w:val="00474D93"/>
    <w:rsid w:val="00475436"/>
    <w:rsid w:val="00476772"/>
    <w:rsid w:val="00481C61"/>
    <w:rsid w:val="00482FC7"/>
    <w:rsid w:val="00483185"/>
    <w:rsid w:val="004841C8"/>
    <w:rsid w:val="00484315"/>
    <w:rsid w:val="00485210"/>
    <w:rsid w:val="0049585D"/>
    <w:rsid w:val="004A62BA"/>
    <w:rsid w:val="004A6D51"/>
    <w:rsid w:val="004A7D48"/>
    <w:rsid w:val="004B36BE"/>
    <w:rsid w:val="004B55B6"/>
    <w:rsid w:val="004C1802"/>
    <w:rsid w:val="004C1B7B"/>
    <w:rsid w:val="004C2853"/>
    <w:rsid w:val="004C3F37"/>
    <w:rsid w:val="004C5DDB"/>
    <w:rsid w:val="004C6E5B"/>
    <w:rsid w:val="004D0603"/>
    <w:rsid w:val="004D5EDE"/>
    <w:rsid w:val="004E04FC"/>
    <w:rsid w:val="004E36CA"/>
    <w:rsid w:val="004E4096"/>
    <w:rsid w:val="004E6629"/>
    <w:rsid w:val="004F4E5C"/>
    <w:rsid w:val="005014E8"/>
    <w:rsid w:val="00503677"/>
    <w:rsid w:val="00504069"/>
    <w:rsid w:val="005046AC"/>
    <w:rsid w:val="005060DE"/>
    <w:rsid w:val="005078D9"/>
    <w:rsid w:val="005137FB"/>
    <w:rsid w:val="005176C5"/>
    <w:rsid w:val="0052085F"/>
    <w:rsid w:val="00521F55"/>
    <w:rsid w:val="00525289"/>
    <w:rsid w:val="00525CF5"/>
    <w:rsid w:val="00533B60"/>
    <w:rsid w:val="005345BC"/>
    <w:rsid w:val="005362F3"/>
    <w:rsid w:val="0053717C"/>
    <w:rsid w:val="00537EB2"/>
    <w:rsid w:val="00540B12"/>
    <w:rsid w:val="00541553"/>
    <w:rsid w:val="00544D26"/>
    <w:rsid w:val="00551802"/>
    <w:rsid w:val="005522E6"/>
    <w:rsid w:val="00556702"/>
    <w:rsid w:val="00562BF9"/>
    <w:rsid w:val="00566CD5"/>
    <w:rsid w:val="00566D0D"/>
    <w:rsid w:val="00566F8E"/>
    <w:rsid w:val="00571DF7"/>
    <w:rsid w:val="005734FF"/>
    <w:rsid w:val="00575AB1"/>
    <w:rsid w:val="00580C8B"/>
    <w:rsid w:val="00581FF7"/>
    <w:rsid w:val="005832FB"/>
    <w:rsid w:val="00587E72"/>
    <w:rsid w:val="00592615"/>
    <w:rsid w:val="0059512A"/>
    <w:rsid w:val="005A1454"/>
    <w:rsid w:val="005B4619"/>
    <w:rsid w:val="005B6100"/>
    <w:rsid w:val="005B6741"/>
    <w:rsid w:val="005C2CDC"/>
    <w:rsid w:val="005C455D"/>
    <w:rsid w:val="005D06F4"/>
    <w:rsid w:val="005D0B5F"/>
    <w:rsid w:val="005D255C"/>
    <w:rsid w:val="005D453B"/>
    <w:rsid w:val="005D7B9F"/>
    <w:rsid w:val="005D7CB2"/>
    <w:rsid w:val="005E5535"/>
    <w:rsid w:val="005F189A"/>
    <w:rsid w:val="005F4D5C"/>
    <w:rsid w:val="005F6612"/>
    <w:rsid w:val="006002C8"/>
    <w:rsid w:val="00603D37"/>
    <w:rsid w:val="00605719"/>
    <w:rsid w:val="006122F1"/>
    <w:rsid w:val="00613354"/>
    <w:rsid w:val="00620613"/>
    <w:rsid w:val="0062184E"/>
    <w:rsid w:val="00621B67"/>
    <w:rsid w:val="00630008"/>
    <w:rsid w:val="006333A1"/>
    <w:rsid w:val="0063573C"/>
    <w:rsid w:val="0063582A"/>
    <w:rsid w:val="00635FCC"/>
    <w:rsid w:val="00636C29"/>
    <w:rsid w:val="00640305"/>
    <w:rsid w:val="0064136B"/>
    <w:rsid w:val="006462BD"/>
    <w:rsid w:val="006524EB"/>
    <w:rsid w:val="0065319D"/>
    <w:rsid w:val="00656D36"/>
    <w:rsid w:val="006627CE"/>
    <w:rsid w:val="00663037"/>
    <w:rsid w:val="00665951"/>
    <w:rsid w:val="006660F6"/>
    <w:rsid w:val="006675A4"/>
    <w:rsid w:val="00667DA0"/>
    <w:rsid w:val="006713F3"/>
    <w:rsid w:val="00673CC8"/>
    <w:rsid w:val="0067463A"/>
    <w:rsid w:val="00687006"/>
    <w:rsid w:val="00687778"/>
    <w:rsid w:val="0069390B"/>
    <w:rsid w:val="006966CC"/>
    <w:rsid w:val="00696C96"/>
    <w:rsid w:val="00696EDD"/>
    <w:rsid w:val="00697572"/>
    <w:rsid w:val="006A28F7"/>
    <w:rsid w:val="006A37DD"/>
    <w:rsid w:val="006A7D5A"/>
    <w:rsid w:val="006B0936"/>
    <w:rsid w:val="006B68CA"/>
    <w:rsid w:val="006C3A0F"/>
    <w:rsid w:val="006D7E83"/>
    <w:rsid w:val="006E2784"/>
    <w:rsid w:val="006F103E"/>
    <w:rsid w:val="006F1FCF"/>
    <w:rsid w:val="006F3DBD"/>
    <w:rsid w:val="006F6A4F"/>
    <w:rsid w:val="007036E1"/>
    <w:rsid w:val="00704285"/>
    <w:rsid w:val="007104E2"/>
    <w:rsid w:val="00712D29"/>
    <w:rsid w:val="00712FBC"/>
    <w:rsid w:val="00717734"/>
    <w:rsid w:val="00717FAF"/>
    <w:rsid w:val="00720B9D"/>
    <w:rsid w:val="00721F1B"/>
    <w:rsid w:val="007223DC"/>
    <w:rsid w:val="00725A6E"/>
    <w:rsid w:val="00732824"/>
    <w:rsid w:val="00734F44"/>
    <w:rsid w:val="007356CF"/>
    <w:rsid w:val="007413C7"/>
    <w:rsid w:val="007422F2"/>
    <w:rsid w:val="00742395"/>
    <w:rsid w:val="00742E06"/>
    <w:rsid w:val="00744A71"/>
    <w:rsid w:val="00744F60"/>
    <w:rsid w:val="00747A3C"/>
    <w:rsid w:val="00754D9F"/>
    <w:rsid w:val="00754DD4"/>
    <w:rsid w:val="00755019"/>
    <w:rsid w:val="007556EC"/>
    <w:rsid w:val="00756E67"/>
    <w:rsid w:val="0075732B"/>
    <w:rsid w:val="00765B7A"/>
    <w:rsid w:val="00765F43"/>
    <w:rsid w:val="00766469"/>
    <w:rsid w:val="007727C9"/>
    <w:rsid w:val="0077337C"/>
    <w:rsid w:val="00777AC0"/>
    <w:rsid w:val="0078563B"/>
    <w:rsid w:val="00794D2D"/>
    <w:rsid w:val="00796B5F"/>
    <w:rsid w:val="007A2031"/>
    <w:rsid w:val="007A4954"/>
    <w:rsid w:val="007B1D3A"/>
    <w:rsid w:val="007B29E6"/>
    <w:rsid w:val="007B5619"/>
    <w:rsid w:val="007B6A50"/>
    <w:rsid w:val="007C0D38"/>
    <w:rsid w:val="007C12D6"/>
    <w:rsid w:val="007C14A4"/>
    <w:rsid w:val="007C5A1F"/>
    <w:rsid w:val="007C63E6"/>
    <w:rsid w:val="007D004E"/>
    <w:rsid w:val="007D1005"/>
    <w:rsid w:val="007F2C1B"/>
    <w:rsid w:val="007F5B04"/>
    <w:rsid w:val="007F6C3C"/>
    <w:rsid w:val="007F7D5A"/>
    <w:rsid w:val="00800F25"/>
    <w:rsid w:val="00802E0F"/>
    <w:rsid w:val="00804E7B"/>
    <w:rsid w:val="00807529"/>
    <w:rsid w:val="00811017"/>
    <w:rsid w:val="008121EF"/>
    <w:rsid w:val="00815E6C"/>
    <w:rsid w:val="00816C7C"/>
    <w:rsid w:val="00821EB4"/>
    <w:rsid w:val="00822812"/>
    <w:rsid w:val="0083017B"/>
    <w:rsid w:val="00832C04"/>
    <w:rsid w:val="008344E5"/>
    <w:rsid w:val="00834C5E"/>
    <w:rsid w:val="00836288"/>
    <w:rsid w:val="00840030"/>
    <w:rsid w:val="00840913"/>
    <w:rsid w:val="00842D2E"/>
    <w:rsid w:val="00860CF7"/>
    <w:rsid w:val="00862DF0"/>
    <w:rsid w:val="00874676"/>
    <w:rsid w:val="00877229"/>
    <w:rsid w:val="00883838"/>
    <w:rsid w:val="0089047C"/>
    <w:rsid w:val="008926C8"/>
    <w:rsid w:val="008936DA"/>
    <w:rsid w:val="0089793B"/>
    <w:rsid w:val="008A0281"/>
    <w:rsid w:val="008A19A5"/>
    <w:rsid w:val="008A513B"/>
    <w:rsid w:val="008B7261"/>
    <w:rsid w:val="008C240F"/>
    <w:rsid w:val="008C359F"/>
    <w:rsid w:val="008C3849"/>
    <w:rsid w:val="008C6A60"/>
    <w:rsid w:val="008D2405"/>
    <w:rsid w:val="008D2888"/>
    <w:rsid w:val="008D493C"/>
    <w:rsid w:val="008D5681"/>
    <w:rsid w:val="008E5503"/>
    <w:rsid w:val="008F45ED"/>
    <w:rsid w:val="008F48BA"/>
    <w:rsid w:val="008F655F"/>
    <w:rsid w:val="00905EC2"/>
    <w:rsid w:val="00910083"/>
    <w:rsid w:val="00911425"/>
    <w:rsid w:val="009122F3"/>
    <w:rsid w:val="0091667C"/>
    <w:rsid w:val="00916B19"/>
    <w:rsid w:val="00932F17"/>
    <w:rsid w:val="00935950"/>
    <w:rsid w:val="00936CE8"/>
    <w:rsid w:val="00940C15"/>
    <w:rsid w:val="00940C33"/>
    <w:rsid w:val="009474F6"/>
    <w:rsid w:val="0095079F"/>
    <w:rsid w:val="00952075"/>
    <w:rsid w:val="00955CC2"/>
    <w:rsid w:val="009616C7"/>
    <w:rsid w:val="009625E7"/>
    <w:rsid w:val="00965310"/>
    <w:rsid w:val="00965E9D"/>
    <w:rsid w:val="009703AB"/>
    <w:rsid w:val="00976761"/>
    <w:rsid w:val="00986501"/>
    <w:rsid w:val="009865BB"/>
    <w:rsid w:val="00987044"/>
    <w:rsid w:val="009935B0"/>
    <w:rsid w:val="0099581B"/>
    <w:rsid w:val="009A009F"/>
    <w:rsid w:val="009A5CC8"/>
    <w:rsid w:val="009B3FA2"/>
    <w:rsid w:val="009B4943"/>
    <w:rsid w:val="009B6684"/>
    <w:rsid w:val="009B6BBB"/>
    <w:rsid w:val="009B6E06"/>
    <w:rsid w:val="009C06CD"/>
    <w:rsid w:val="009C2F9B"/>
    <w:rsid w:val="009C5F9D"/>
    <w:rsid w:val="009C6F71"/>
    <w:rsid w:val="009D0825"/>
    <w:rsid w:val="009D4B6D"/>
    <w:rsid w:val="009D5A4A"/>
    <w:rsid w:val="009E0856"/>
    <w:rsid w:val="009E3061"/>
    <w:rsid w:val="009E3F3C"/>
    <w:rsid w:val="009F4771"/>
    <w:rsid w:val="009F60A9"/>
    <w:rsid w:val="00A01AD1"/>
    <w:rsid w:val="00A07509"/>
    <w:rsid w:val="00A101A1"/>
    <w:rsid w:val="00A160A1"/>
    <w:rsid w:val="00A16FBD"/>
    <w:rsid w:val="00A20B59"/>
    <w:rsid w:val="00A218DE"/>
    <w:rsid w:val="00A26362"/>
    <w:rsid w:val="00A300BF"/>
    <w:rsid w:val="00A31D71"/>
    <w:rsid w:val="00A37902"/>
    <w:rsid w:val="00A4135E"/>
    <w:rsid w:val="00A4159C"/>
    <w:rsid w:val="00A41693"/>
    <w:rsid w:val="00A5163C"/>
    <w:rsid w:val="00A53654"/>
    <w:rsid w:val="00A539D0"/>
    <w:rsid w:val="00A60C8E"/>
    <w:rsid w:val="00A61DA9"/>
    <w:rsid w:val="00A71C73"/>
    <w:rsid w:val="00A72673"/>
    <w:rsid w:val="00A73D3C"/>
    <w:rsid w:val="00A73DF8"/>
    <w:rsid w:val="00A8184E"/>
    <w:rsid w:val="00A81C5E"/>
    <w:rsid w:val="00A8356E"/>
    <w:rsid w:val="00A87426"/>
    <w:rsid w:val="00A93F8B"/>
    <w:rsid w:val="00A9608D"/>
    <w:rsid w:val="00A97A9A"/>
    <w:rsid w:val="00AA1A39"/>
    <w:rsid w:val="00AA1F8C"/>
    <w:rsid w:val="00AA77D4"/>
    <w:rsid w:val="00AB26EF"/>
    <w:rsid w:val="00AB69F4"/>
    <w:rsid w:val="00AC2093"/>
    <w:rsid w:val="00AC47CA"/>
    <w:rsid w:val="00AC559B"/>
    <w:rsid w:val="00AD006C"/>
    <w:rsid w:val="00AD1E91"/>
    <w:rsid w:val="00AD31CE"/>
    <w:rsid w:val="00AD5751"/>
    <w:rsid w:val="00AD783A"/>
    <w:rsid w:val="00AE0881"/>
    <w:rsid w:val="00AE4C48"/>
    <w:rsid w:val="00AF33EA"/>
    <w:rsid w:val="00AF3791"/>
    <w:rsid w:val="00B02301"/>
    <w:rsid w:val="00B045BF"/>
    <w:rsid w:val="00B04EE8"/>
    <w:rsid w:val="00B10E46"/>
    <w:rsid w:val="00B143D4"/>
    <w:rsid w:val="00B304F0"/>
    <w:rsid w:val="00B3253D"/>
    <w:rsid w:val="00B3358E"/>
    <w:rsid w:val="00B352F5"/>
    <w:rsid w:val="00B43138"/>
    <w:rsid w:val="00B45C58"/>
    <w:rsid w:val="00B46F14"/>
    <w:rsid w:val="00B5362C"/>
    <w:rsid w:val="00B56137"/>
    <w:rsid w:val="00B5624C"/>
    <w:rsid w:val="00B57BF8"/>
    <w:rsid w:val="00B63461"/>
    <w:rsid w:val="00B639DD"/>
    <w:rsid w:val="00B64C82"/>
    <w:rsid w:val="00B72742"/>
    <w:rsid w:val="00B75651"/>
    <w:rsid w:val="00B83228"/>
    <w:rsid w:val="00B83940"/>
    <w:rsid w:val="00B83C67"/>
    <w:rsid w:val="00B854F0"/>
    <w:rsid w:val="00B87064"/>
    <w:rsid w:val="00B90B9B"/>
    <w:rsid w:val="00B90E45"/>
    <w:rsid w:val="00B94065"/>
    <w:rsid w:val="00B95A56"/>
    <w:rsid w:val="00B95D6C"/>
    <w:rsid w:val="00B96AEC"/>
    <w:rsid w:val="00BA0113"/>
    <w:rsid w:val="00BA0CC6"/>
    <w:rsid w:val="00BA1AEA"/>
    <w:rsid w:val="00BB0256"/>
    <w:rsid w:val="00BB479E"/>
    <w:rsid w:val="00BC1884"/>
    <w:rsid w:val="00BC1FAC"/>
    <w:rsid w:val="00BC29F4"/>
    <w:rsid w:val="00BC386E"/>
    <w:rsid w:val="00BC4544"/>
    <w:rsid w:val="00BC672B"/>
    <w:rsid w:val="00BC75A0"/>
    <w:rsid w:val="00BC7B86"/>
    <w:rsid w:val="00BC7E4C"/>
    <w:rsid w:val="00BD4DE9"/>
    <w:rsid w:val="00BD5D03"/>
    <w:rsid w:val="00BD609A"/>
    <w:rsid w:val="00BD62B4"/>
    <w:rsid w:val="00BE0C27"/>
    <w:rsid w:val="00BE1C9F"/>
    <w:rsid w:val="00BF19AD"/>
    <w:rsid w:val="00C008D0"/>
    <w:rsid w:val="00C0596E"/>
    <w:rsid w:val="00C10C76"/>
    <w:rsid w:val="00C128BD"/>
    <w:rsid w:val="00C20949"/>
    <w:rsid w:val="00C31A50"/>
    <w:rsid w:val="00C31DD0"/>
    <w:rsid w:val="00C32517"/>
    <w:rsid w:val="00C37DB9"/>
    <w:rsid w:val="00C415F6"/>
    <w:rsid w:val="00C61D67"/>
    <w:rsid w:val="00C63E94"/>
    <w:rsid w:val="00C65591"/>
    <w:rsid w:val="00C67C6B"/>
    <w:rsid w:val="00C707B5"/>
    <w:rsid w:val="00C740B2"/>
    <w:rsid w:val="00C76450"/>
    <w:rsid w:val="00C81FE1"/>
    <w:rsid w:val="00C92313"/>
    <w:rsid w:val="00C92685"/>
    <w:rsid w:val="00C92B10"/>
    <w:rsid w:val="00C93D3E"/>
    <w:rsid w:val="00C96F4C"/>
    <w:rsid w:val="00CA2350"/>
    <w:rsid w:val="00CA3297"/>
    <w:rsid w:val="00CA4A50"/>
    <w:rsid w:val="00CA4F06"/>
    <w:rsid w:val="00CA52C2"/>
    <w:rsid w:val="00CA65E6"/>
    <w:rsid w:val="00CB2037"/>
    <w:rsid w:val="00CB349A"/>
    <w:rsid w:val="00CC23D6"/>
    <w:rsid w:val="00CC3AC5"/>
    <w:rsid w:val="00CC3BC6"/>
    <w:rsid w:val="00CC5970"/>
    <w:rsid w:val="00CD43C6"/>
    <w:rsid w:val="00CE1E41"/>
    <w:rsid w:val="00CE4CAD"/>
    <w:rsid w:val="00CE6E50"/>
    <w:rsid w:val="00CF0070"/>
    <w:rsid w:val="00D00907"/>
    <w:rsid w:val="00D00DFC"/>
    <w:rsid w:val="00D10A78"/>
    <w:rsid w:val="00D13891"/>
    <w:rsid w:val="00D14C9E"/>
    <w:rsid w:val="00D228F2"/>
    <w:rsid w:val="00D2525E"/>
    <w:rsid w:val="00D26CC8"/>
    <w:rsid w:val="00D2755B"/>
    <w:rsid w:val="00D30C95"/>
    <w:rsid w:val="00D467B5"/>
    <w:rsid w:val="00D46900"/>
    <w:rsid w:val="00D53074"/>
    <w:rsid w:val="00D53BF5"/>
    <w:rsid w:val="00D54497"/>
    <w:rsid w:val="00D545C9"/>
    <w:rsid w:val="00D7346C"/>
    <w:rsid w:val="00D921E0"/>
    <w:rsid w:val="00D92665"/>
    <w:rsid w:val="00DA1D00"/>
    <w:rsid w:val="00DA3083"/>
    <w:rsid w:val="00DA49B4"/>
    <w:rsid w:val="00DA52E9"/>
    <w:rsid w:val="00DA710B"/>
    <w:rsid w:val="00DA7761"/>
    <w:rsid w:val="00DB30A2"/>
    <w:rsid w:val="00DB5D1D"/>
    <w:rsid w:val="00DC0A2E"/>
    <w:rsid w:val="00DC31E5"/>
    <w:rsid w:val="00DC476D"/>
    <w:rsid w:val="00DC5D7C"/>
    <w:rsid w:val="00DD36F2"/>
    <w:rsid w:val="00DD4820"/>
    <w:rsid w:val="00DE0414"/>
    <w:rsid w:val="00DE08CE"/>
    <w:rsid w:val="00DE49F5"/>
    <w:rsid w:val="00DF232D"/>
    <w:rsid w:val="00DF713C"/>
    <w:rsid w:val="00E045DE"/>
    <w:rsid w:val="00E05B45"/>
    <w:rsid w:val="00E10805"/>
    <w:rsid w:val="00E10937"/>
    <w:rsid w:val="00E11C92"/>
    <w:rsid w:val="00E14DC8"/>
    <w:rsid w:val="00E16181"/>
    <w:rsid w:val="00E17B78"/>
    <w:rsid w:val="00E209AC"/>
    <w:rsid w:val="00E3058B"/>
    <w:rsid w:val="00E362EB"/>
    <w:rsid w:val="00E375EF"/>
    <w:rsid w:val="00E4679E"/>
    <w:rsid w:val="00E47FC7"/>
    <w:rsid w:val="00E52530"/>
    <w:rsid w:val="00E527AD"/>
    <w:rsid w:val="00E56F86"/>
    <w:rsid w:val="00E65FCF"/>
    <w:rsid w:val="00E7310D"/>
    <w:rsid w:val="00E761DD"/>
    <w:rsid w:val="00E778AE"/>
    <w:rsid w:val="00E810AC"/>
    <w:rsid w:val="00E90B99"/>
    <w:rsid w:val="00E91A67"/>
    <w:rsid w:val="00E9486A"/>
    <w:rsid w:val="00E96C5C"/>
    <w:rsid w:val="00E96D80"/>
    <w:rsid w:val="00E971EA"/>
    <w:rsid w:val="00EA1B19"/>
    <w:rsid w:val="00EA259E"/>
    <w:rsid w:val="00EA431E"/>
    <w:rsid w:val="00EA7BEB"/>
    <w:rsid w:val="00EA7D81"/>
    <w:rsid w:val="00EB1B37"/>
    <w:rsid w:val="00EB2C51"/>
    <w:rsid w:val="00EC0D39"/>
    <w:rsid w:val="00EC1BF8"/>
    <w:rsid w:val="00EC6F34"/>
    <w:rsid w:val="00ED16A7"/>
    <w:rsid w:val="00ED189C"/>
    <w:rsid w:val="00ED1CB8"/>
    <w:rsid w:val="00EE24A5"/>
    <w:rsid w:val="00EE3580"/>
    <w:rsid w:val="00EE6D01"/>
    <w:rsid w:val="00EF418B"/>
    <w:rsid w:val="00EF474F"/>
    <w:rsid w:val="00EF6C19"/>
    <w:rsid w:val="00F060FE"/>
    <w:rsid w:val="00F076A7"/>
    <w:rsid w:val="00F109C5"/>
    <w:rsid w:val="00F130DB"/>
    <w:rsid w:val="00F13925"/>
    <w:rsid w:val="00F14243"/>
    <w:rsid w:val="00F15F41"/>
    <w:rsid w:val="00F21DEA"/>
    <w:rsid w:val="00F277A1"/>
    <w:rsid w:val="00F31F7A"/>
    <w:rsid w:val="00F3682F"/>
    <w:rsid w:val="00F42972"/>
    <w:rsid w:val="00F46B0D"/>
    <w:rsid w:val="00F53BB7"/>
    <w:rsid w:val="00F577D4"/>
    <w:rsid w:val="00F65467"/>
    <w:rsid w:val="00F67DAA"/>
    <w:rsid w:val="00F714C3"/>
    <w:rsid w:val="00F837D9"/>
    <w:rsid w:val="00F95D30"/>
    <w:rsid w:val="00F95E4A"/>
    <w:rsid w:val="00FA68EA"/>
    <w:rsid w:val="00FB47F9"/>
    <w:rsid w:val="00FC060A"/>
    <w:rsid w:val="00FC4D72"/>
    <w:rsid w:val="00FC5022"/>
    <w:rsid w:val="00FC5234"/>
    <w:rsid w:val="00FC58DF"/>
    <w:rsid w:val="00FC6F3C"/>
    <w:rsid w:val="00FD2B6A"/>
    <w:rsid w:val="00FE1C8F"/>
    <w:rsid w:val="00FE3089"/>
    <w:rsid w:val="00FE4164"/>
    <w:rsid w:val="00FE6EDB"/>
    <w:rsid w:val="00FF3EB3"/>
    <w:rsid w:val="00FF61D1"/>
    <w:rsid w:val="00FF7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94145F7"/>
  <w15:docId w15:val="{B02E5DC0-01A8-4EE3-A709-795C7F93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069"/>
    <w:pPr>
      <w:spacing w:after="240"/>
    </w:pPr>
    <w:rPr>
      <w:rFonts w:ascii="Arial" w:hAnsi="Arial"/>
      <w:szCs w:val="24"/>
      <w:lang w:eastAsia="en-US"/>
    </w:rPr>
  </w:style>
  <w:style w:type="paragraph" w:styleId="Heading1">
    <w:name w:val="heading 1"/>
    <w:next w:val="IndentParaLevel1"/>
    <w:qFormat/>
    <w:rsid w:val="00504069"/>
    <w:pPr>
      <w:keepNext/>
      <w:numPr>
        <w:numId w:val="16"/>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qFormat/>
    <w:rsid w:val="00504069"/>
    <w:pPr>
      <w:keepNext/>
      <w:numPr>
        <w:ilvl w:val="1"/>
        <w:numId w:val="16"/>
      </w:numPr>
      <w:spacing w:after="220"/>
      <w:outlineLvl w:val="1"/>
    </w:pPr>
    <w:rPr>
      <w:rFonts w:ascii="Arial" w:hAnsi="Arial"/>
      <w:b/>
      <w:bCs/>
      <w:iCs/>
      <w:sz w:val="24"/>
      <w:szCs w:val="28"/>
      <w:lang w:eastAsia="en-US"/>
    </w:rPr>
  </w:style>
  <w:style w:type="paragraph" w:styleId="Heading3">
    <w:name w:val="heading 3"/>
    <w:basedOn w:val="Normal"/>
    <w:qFormat/>
    <w:rsid w:val="00504069"/>
    <w:pPr>
      <w:numPr>
        <w:ilvl w:val="2"/>
        <w:numId w:val="16"/>
      </w:numPr>
      <w:outlineLvl w:val="2"/>
    </w:pPr>
    <w:rPr>
      <w:rFonts w:cs="Arial"/>
      <w:bCs/>
      <w:szCs w:val="26"/>
    </w:rPr>
  </w:style>
  <w:style w:type="paragraph" w:styleId="Heading4">
    <w:name w:val="heading 4"/>
    <w:basedOn w:val="Normal"/>
    <w:qFormat/>
    <w:rsid w:val="00504069"/>
    <w:pPr>
      <w:numPr>
        <w:ilvl w:val="3"/>
        <w:numId w:val="16"/>
      </w:numPr>
      <w:outlineLvl w:val="3"/>
    </w:pPr>
    <w:rPr>
      <w:bCs/>
      <w:szCs w:val="28"/>
    </w:rPr>
  </w:style>
  <w:style w:type="paragraph" w:styleId="Heading5">
    <w:name w:val="heading 5"/>
    <w:basedOn w:val="Normal"/>
    <w:qFormat/>
    <w:rsid w:val="00504069"/>
    <w:pPr>
      <w:numPr>
        <w:ilvl w:val="4"/>
        <w:numId w:val="16"/>
      </w:numPr>
      <w:outlineLvl w:val="4"/>
    </w:pPr>
    <w:rPr>
      <w:bCs/>
      <w:iCs/>
      <w:szCs w:val="26"/>
    </w:rPr>
  </w:style>
  <w:style w:type="paragraph" w:styleId="Heading6">
    <w:name w:val="heading 6"/>
    <w:basedOn w:val="Normal"/>
    <w:qFormat/>
    <w:rsid w:val="00504069"/>
    <w:pPr>
      <w:numPr>
        <w:ilvl w:val="5"/>
        <w:numId w:val="16"/>
      </w:numPr>
      <w:outlineLvl w:val="5"/>
    </w:pPr>
    <w:rPr>
      <w:bCs/>
      <w:szCs w:val="22"/>
    </w:rPr>
  </w:style>
  <w:style w:type="paragraph" w:styleId="Heading7">
    <w:name w:val="heading 7"/>
    <w:basedOn w:val="Normal"/>
    <w:qFormat/>
    <w:rsid w:val="00504069"/>
    <w:pPr>
      <w:numPr>
        <w:ilvl w:val="6"/>
        <w:numId w:val="16"/>
      </w:numPr>
      <w:outlineLvl w:val="6"/>
    </w:pPr>
  </w:style>
  <w:style w:type="paragraph" w:styleId="Heading8">
    <w:name w:val="heading 8"/>
    <w:basedOn w:val="Normal"/>
    <w:qFormat/>
    <w:rsid w:val="00504069"/>
    <w:pPr>
      <w:numPr>
        <w:ilvl w:val="7"/>
        <w:numId w:val="16"/>
      </w:numPr>
      <w:outlineLvl w:val="7"/>
    </w:pPr>
    <w:rPr>
      <w:iCs/>
    </w:rPr>
  </w:style>
  <w:style w:type="paragraph" w:styleId="Heading9">
    <w:name w:val="heading 9"/>
    <w:basedOn w:val="Normal"/>
    <w:next w:val="Normal"/>
    <w:qFormat/>
    <w:rsid w:val="00504069"/>
    <w:pPr>
      <w:keepNext/>
      <w:numPr>
        <w:ilvl w:val="8"/>
        <w:numId w:val="16"/>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rsid w:val="00504069"/>
    <w:rPr>
      <w:rFonts w:ascii="Arial" w:hAnsi="Arial"/>
      <w:b/>
      <w:color w:val="FFFF99"/>
      <w:sz w:val="20"/>
      <w:szCs w:val="22"/>
      <w:shd w:val="clear" w:color="auto" w:fill="808080"/>
    </w:rPr>
  </w:style>
  <w:style w:type="paragraph" w:customStyle="1" w:styleId="AttachmentHeading">
    <w:name w:val="Attachment Heading"/>
    <w:basedOn w:val="Normal"/>
    <w:next w:val="Normal"/>
    <w:rsid w:val="00504069"/>
    <w:pPr>
      <w:pageBreakBefore/>
      <w:numPr>
        <w:numId w:val="1"/>
      </w:numPr>
    </w:pPr>
    <w:rPr>
      <w:b/>
      <w:sz w:val="24"/>
      <w:szCs w:val="22"/>
    </w:rPr>
  </w:style>
  <w:style w:type="paragraph" w:customStyle="1" w:styleId="IndentParaLevel1">
    <w:name w:val="IndentParaLevel1"/>
    <w:basedOn w:val="Normal"/>
    <w:rsid w:val="00504069"/>
    <w:pPr>
      <w:ind w:left="964"/>
    </w:pPr>
  </w:style>
  <w:style w:type="paragraph" w:customStyle="1" w:styleId="Commentary">
    <w:name w:val="Commentary"/>
    <w:basedOn w:val="IndentParaLevel1"/>
    <w:rsid w:val="00504069"/>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CUAddress">
    <w:name w:val="CU_Address"/>
    <w:basedOn w:val="Normal"/>
    <w:semiHidden/>
    <w:rsid w:val="00504069"/>
    <w:pPr>
      <w:spacing w:after="0"/>
    </w:pPr>
    <w:rPr>
      <w:sz w:val="18"/>
    </w:rPr>
  </w:style>
  <w:style w:type="paragraph" w:customStyle="1" w:styleId="CULtrAddress">
    <w:name w:val="CU_LtrAddress"/>
    <w:basedOn w:val="Normal"/>
    <w:semiHidden/>
    <w:rsid w:val="00504069"/>
    <w:pPr>
      <w:widowControl w:val="0"/>
      <w:spacing w:after="100"/>
    </w:pPr>
    <w:rPr>
      <w:sz w:val="18"/>
      <w:lang w:bidi="he-IL"/>
    </w:rPr>
  </w:style>
  <w:style w:type="paragraph" w:customStyle="1" w:styleId="CUNumber1">
    <w:name w:val="CU_Number1"/>
    <w:basedOn w:val="Normal"/>
    <w:rsid w:val="00504069"/>
    <w:pPr>
      <w:numPr>
        <w:numId w:val="18"/>
      </w:numPr>
      <w:outlineLvl w:val="0"/>
    </w:pPr>
  </w:style>
  <w:style w:type="paragraph" w:customStyle="1" w:styleId="CUNumber2">
    <w:name w:val="CU_Number2"/>
    <w:basedOn w:val="Normal"/>
    <w:rsid w:val="00504069"/>
    <w:pPr>
      <w:numPr>
        <w:ilvl w:val="1"/>
        <w:numId w:val="18"/>
      </w:numPr>
      <w:outlineLvl w:val="1"/>
    </w:pPr>
  </w:style>
  <w:style w:type="paragraph" w:customStyle="1" w:styleId="CUNumber3">
    <w:name w:val="CU_Number3"/>
    <w:basedOn w:val="Normal"/>
    <w:rsid w:val="00504069"/>
    <w:pPr>
      <w:numPr>
        <w:ilvl w:val="2"/>
        <w:numId w:val="18"/>
      </w:numPr>
      <w:outlineLvl w:val="2"/>
    </w:pPr>
  </w:style>
  <w:style w:type="paragraph" w:customStyle="1" w:styleId="CUNumber4">
    <w:name w:val="CU_Number4"/>
    <w:basedOn w:val="Normal"/>
    <w:rsid w:val="00504069"/>
    <w:pPr>
      <w:numPr>
        <w:ilvl w:val="3"/>
        <w:numId w:val="18"/>
      </w:numPr>
      <w:outlineLvl w:val="3"/>
    </w:pPr>
  </w:style>
  <w:style w:type="paragraph" w:customStyle="1" w:styleId="CUNumber5">
    <w:name w:val="CU_Number5"/>
    <w:basedOn w:val="Normal"/>
    <w:rsid w:val="00504069"/>
    <w:pPr>
      <w:numPr>
        <w:ilvl w:val="4"/>
        <w:numId w:val="18"/>
      </w:numPr>
      <w:outlineLvl w:val="4"/>
    </w:pPr>
  </w:style>
  <w:style w:type="paragraph" w:customStyle="1" w:styleId="CUNumber6">
    <w:name w:val="CU_Number6"/>
    <w:basedOn w:val="Normal"/>
    <w:rsid w:val="00504069"/>
    <w:pPr>
      <w:numPr>
        <w:ilvl w:val="5"/>
        <w:numId w:val="18"/>
      </w:numPr>
      <w:outlineLvl w:val="5"/>
    </w:pPr>
  </w:style>
  <w:style w:type="paragraph" w:customStyle="1" w:styleId="CUNumber7">
    <w:name w:val="CU_Number7"/>
    <w:basedOn w:val="Normal"/>
    <w:rsid w:val="00504069"/>
    <w:pPr>
      <w:numPr>
        <w:ilvl w:val="6"/>
        <w:numId w:val="18"/>
      </w:numPr>
      <w:outlineLvl w:val="6"/>
    </w:pPr>
  </w:style>
  <w:style w:type="paragraph" w:customStyle="1" w:styleId="CUNumber8">
    <w:name w:val="CU_Number8"/>
    <w:basedOn w:val="Normal"/>
    <w:rsid w:val="00504069"/>
    <w:pPr>
      <w:numPr>
        <w:ilvl w:val="7"/>
        <w:numId w:val="18"/>
      </w:numPr>
      <w:outlineLvl w:val="7"/>
    </w:pPr>
  </w:style>
  <w:style w:type="paragraph" w:customStyle="1" w:styleId="Definition">
    <w:name w:val="Definition"/>
    <w:basedOn w:val="Normal"/>
    <w:rsid w:val="00504069"/>
    <w:pPr>
      <w:numPr>
        <w:numId w:val="19"/>
      </w:numPr>
    </w:pPr>
    <w:rPr>
      <w:szCs w:val="22"/>
    </w:rPr>
  </w:style>
  <w:style w:type="paragraph" w:customStyle="1" w:styleId="DefinitionNum2">
    <w:name w:val="DefinitionNum2"/>
    <w:basedOn w:val="Normal"/>
    <w:rsid w:val="00504069"/>
    <w:pPr>
      <w:numPr>
        <w:ilvl w:val="1"/>
        <w:numId w:val="19"/>
      </w:numPr>
    </w:pPr>
    <w:rPr>
      <w:color w:val="000000"/>
    </w:rPr>
  </w:style>
  <w:style w:type="paragraph" w:customStyle="1" w:styleId="DefinitionNum3">
    <w:name w:val="DefinitionNum3"/>
    <w:basedOn w:val="Normal"/>
    <w:rsid w:val="00504069"/>
    <w:pPr>
      <w:numPr>
        <w:ilvl w:val="2"/>
        <w:numId w:val="19"/>
      </w:numPr>
      <w:outlineLvl w:val="2"/>
    </w:pPr>
    <w:rPr>
      <w:color w:val="000000"/>
      <w:szCs w:val="22"/>
    </w:rPr>
  </w:style>
  <w:style w:type="paragraph" w:customStyle="1" w:styleId="DefinitionNum4">
    <w:name w:val="DefinitionNum4"/>
    <w:basedOn w:val="Normal"/>
    <w:rsid w:val="00504069"/>
    <w:pPr>
      <w:numPr>
        <w:ilvl w:val="3"/>
        <w:numId w:val="19"/>
      </w:numPr>
    </w:pPr>
  </w:style>
  <w:style w:type="numbering" w:customStyle="1" w:styleId="CUIndent">
    <w:name w:val="CU_Indent"/>
    <w:uiPriority w:val="99"/>
    <w:rsid w:val="001B684A"/>
    <w:pPr>
      <w:numPr>
        <w:numId w:val="24"/>
      </w:numPr>
    </w:pPr>
  </w:style>
  <w:style w:type="paragraph" w:customStyle="1" w:styleId="EndIdentifier">
    <w:name w:val="EndIdentifier"/>
    <w:basedOn w:val="Commentary"/>
    <w:rsid w:val="00504069"/>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rsid w:val="00504069"/>
    <w:rPr>
      <w:rFonts w:ascii="Arial" w:hAnsi="Arial"/>
      <w:vertAlign w:val="superscript"/>
    </w:rPr>
  </w:style>
  <w:style w:type="paragraph" w:styleId="EndnoteText">
    <w:name w:val="endnote text"/>
    <w:basedOn w:val="Normal"/>
    <w:rsid w:val="00504069"/>
    <w:rPr>
      <w:sz w:val="18"/>
      <w:szCs w:val="20"/>
    </w:rPr>
  </w:style>
  <w:style w:type="paragraph" w:customStyle="1" w:styleId="ExhibitHeading">
    <w:name w:val="Exhibit Heading"/>
    <w:basedOn w:val="Normal"/>
    <w:next w:val="Normal"/>
    <w:rsid w:val="00504069"/>
    <w:pPr>
      <w:pageBreakBefore/>
      <w:numPr>
        <w:numId w:val="2"/>
      </w:numPr>
      <w:tabs>
        <w:tab w:val="num" w:pos="964"/>
      </w:tabs>
      <w:ind w:left="964" w:hanging="964"/>
    </w:pPr>
    <w:rPr>
      <w:b/>
      <w:sz w:val="24"/>
    </w:rPr>
  </w:style>
  <w:style w:type="paragraph" w:styleId="Footer">
    <w:name w:val="footer"/>
    <w:basedOn w:val="Normal"/>
    <w:rsid w:val="00504069"/>
    <w:pPr>
      <w:widowControl w:val="0"/>
      <w:tabs>
        <w:tab w:val="center" w:pos="4678"/>
        <w:tab w:val="right" w:pos="9356"/>
      </w:tabs>
      <w:spacing w:after="0"/>
    </w:pPr>
    <w:rPr>
      <w:snapToGrid w:val="0"/>
      <w:sz w:val="16"/>
      <w:szCs w:val="20"/>
    </w:rPr>
  </w:style>
  <w:style w:type="character" w:styleId="FootnoteReference">
    <w:name w:val="footnote reference"/>
    <w:rsid w:val="00504069"/>
    <w:rPr>
      <w:rFonts w:ascii="Arial" w:hAnsi="Arial"/>
      <w:vertAlign w:val="superscript"/>
    </w:rPr>
  </w:style>
  <w:style w:type="paragraph" w:styleId="FootnoteText">
    <w:name w:val="footnote text"/>
    <w:basedOn w:val="Normal"/>
    <w:link w:val="FootnoteTextChar"/>
    <w:rsid w:val="00504069"/>
    <w:rPr>
      <w:color w:val="0000FF"/>
      <w:sz w:val="18"/>
      <w:szCs w:val="20"/>
    </w:rPr>
  </w:style>
  <w:style w:type="paragraph" w:styleId="Header">
    <w:name w:val="header"/>
    <w:basedOn w:val="Normal"/>
    <w:link w:val="HeaderChar"/>
    <w:uiPriority w:val="99"/>
    <w:rsid w:val="00504069"/>
    <w:pPr>
      <w:tabs>
        <w:tab w:val="center" w:pos="4678"/>
        <w:tab w:val="right" w:pos="9356"/>
      </w:tabs>
    </w:pPr>
    <w:rPr>
      <w:snapToGrid w:val="0"/>
      <w:szCs w:val="20"/>
    </w:rPr>
  </w:style>
  <w:style w:type="character" w:styleId="Hyperlink">
    <w:name w:val="Hyperlink"/>
    <w:uiPriority w:val="99"/>
    <w:rsid w:val="00504069"/>
    <w:rPr>
      <w:color w:val="0000FF"/>
      <w:u w:val="single"/>
    </w:rPr>
  </w:style>
  <w:style w:type="character" w:customStyle="1" w:styleId="IDDVariableMarker">
    <w:name w:val="IDDVariableMarker"/>
    <w:rsid w:val="00504069"/>
    <w:rPr>
      <w:rFonts w:ascii="Arial" w:hAnsi="Arial"/>
      <w:b/>
    </w:rPr>
  </w:style>
  <w:style w:type="paragraph" w:customStyle="1" w:styleId="IndentParaLevel2">
    <w:name w:val="IndentParaLevel2"/>
    <w:basedOn w:val="Normal"/>
    <w:rsid w:val="00504069"/>
    <w:pPr>
      <w:ind w:left="1928"/>
    </w:pPr>
  </w:style>
  <w:style w:type="paragraph" w:customStyle="1" w:styleId="IndentParaLevel3">
    <w:name w:val="IndentParaLevel3"/>
    <w:basedOn w:val="Normal"/>
    <w:rsid w:val="00504069"/>
    <w:pPr>
      <w:ind w:left="2892"/>
    </w:pPr>
  </w:style>
  <w:style w:type="paragraph" w:customStyle="1" w:styleId="IndentParaLevel4">
    <w:name w:val="IndentParaLevel4"/>
    <w:basedOn w:val="Normal"/>
    <w:rsid w:val="00504069"/>
    <w:pPr>
      <w:ind w:left="3856"/>
    </w:pPr>
  </w:style>
  <w:style w:type="paragraph" w:customStyle="1" w:styleId="IndentParaLevel5">
    <w:name w:val="IndentParaLevel5"/>
    <w:basedOn w:val="Normal"/>
    <w:rsid w:val="00504069"/>
    <w:pPr>
      <w:ind w:left="4820"/>
    </w:pPr>
  </w:style>
  <w:style w:type="paragraph" w:customStyle="1" w:styleId="IndentParaLevel6">
    <w:name w:val="IndentParaLevel6"/>
    <w:basedOn w:val="Normal"/>
    <w:rsid w:val="00504069"/>
    <w:pPr>
      <w:ind w:left="5783"/>
    </w:pPr>
  </w:style>
  <w:style w:type="paragraph" w:customStyle="1" w:styleId="AnnexureHeading">
    <w:name w:val="Annexure Heading"/>
    <w:basedOn w:val="Normal"/>
    <w:next w:val="Normal"/>
    <w:rsid w:val="00504069"/>
    <w:pPr>
      <w:pageBreakBefore/>
      <w:numPr>
        <w:numId w:val="9"/>
      </w:numPr>
    </w:pPr>
    <w:rPr>
      <w:b/>
      <w:sz w:val="24"/>
    </w:rPr>
  </w:style>
  <w:style w:type="paragraph" w:styleId="ListBullet">
    <w:name w:val="List Bullet"/>
    <w:basedOn w:val="Normal"/>
    <w:rsid w:val="00504069"/>
    <w:pPr>
      <w:numPr>
        <w:numId w:val="3"/>
      </w:numPr>
    </w:pPr>
  </w:style>
  <w:style w:type="paragraph" w:styleId="ListBullet2">
    <w:name w:val="List Bullet 2"/>
    <w:basedOn w:val="Normal"/>
    <w:rsid w:val="00504069"/>
    <w:pPr>
      <w:numPr>
        <w:ilvl w:val="1"/>
        <w:numId w:val="3"/>
      </w:numPr>
    </w:pPr>
  </w:style>
  <w:style w:type="paragraph" w:styleId="ListBullet3">
    <w:name w:val="List Bullet 3"/>
    <w:basedOn w:val="Normal"/>
    <w:rsid w:val="00504069"/>
    <w:pPr>
      <w:numPr>
        <w:ilvl w:val="2"/>
        <w:numId w:val="3"/>
      </w:numPr>
    </w:pPr>
  </w:style>
  <w:style w:type="paragraph" w:styleId="ListBullet4">
    <w:name w:val="List Bullet 4"/>
    <w:basedOn w:val="Normal"/>
    <w:rsid w:val="00504069"/>
    <w:pPr>
      <w:numPr>
        <w:ilvl w:val="3"/>
        <w:numId w:val="3"/>
      </w:numPr>
    </w:pPr>
  </w:style>
  <w:style w:type="paragraph" w:styleId="ListBullet5">
    <w:name w:val="List Bullet 5"/>
    <w:basedOn w:val="Normal"/>
    <w:rsid w:val="00504069"/>
    <w:pPr>
      <w:numPr>
        <w:ilvl w:val="4"/>
        <w:numId w:val="3"/>
      </w:numPr>
    </w:pPr>
  </w:style>
  <w:style w:type="numbering" w:customStyle="1" w:styleId="CUIndent1">
    <w:name w:val="CU_Indent1"/>
    <w:uiPriority w:val="99"/>
    <w:rsid w:val="001B684A"/>
  </w:style>
  <w:style w:type="paragraph" w:customStyle="1" w:styleId="OfficeSidebar">
    <w:name w:val="OfficeSidebar"/>
    <w:basedOn w:val="Normal"/>
    <w:semiHidden/>
    <w:rsid w:val="00504069"/>
    <w:pPr>
      <w:tabs>
        <w:tab w:val="left" w:pos="198"/>
      </w:tabs>
      <w:spacing w:line="220" w:lineRule="exact"/>
    </w:pPr>
    <w:rPr>
      <w:rFonts w:cs="Courier New"/>
      <w:sz w:val="18"/>
      <w:szCs w:val="18"/>
    </w:rPr>
  </w:style>
  <w:style w:type="character" w:styleId="PageNumber">
    <w:name w:val="page number"/>
    <w:basedOn w:val="DefaultParagraphFont"/>
    <w:semiHidden/>
    <w:rsid w:val="00504069"/>
  </w:style>
  <w:style w:type="paragraph" w:customStyle="1" w:styleId="ScheduleHeading">
    <w:name w:val="Schedule Heading"/>
    <w:basedOn w:val="Normal"/>
    <w:next w:val="Normal"/>
    <w:rsid w:val="00504069"/>
    <w:pPr>
      <w:pageBreakBefore/>
      <w:numPr>
        <w:numId w:val="23"/>
      </w:numPr>
      <w:outlineLvl w:val="0"/>
    </w:pPr>
    <w:rPr>
      <w:b/>
      <w:sz w:val="24"/>
    </w:rPr>
  </w:style>
  <w:style w:type="paragraph" w:customStyle="1" w:styleId="Schedule1">
    <w:name w:val="Schedule_1"/>
    <w:basedOn w:val="Normal"/>
    <w:next w:val="IndentParaLevel1"/>
    <w:rsid w:val="00504069"/>
    <w:pPr>
      <w:keepNext/>
      <w:numPr>
        <w:ilvl w:val="1"/>
        <w:numId w:val="23"/>
      </w:numPr>
      <w:pBdr>
        <w:top w:val="single" w:sz="12" w:space="1" w:color="auto"/>
      </w:pBdr>
      <w:outlineLvl w:val="0"/>
    </w:pPr>
    <w:rPr>
      <w:b/>
      <w:sz w:val="28"/>
    </w:rPr>
  </w:style>
  <w:style w:type="paragraph" w:customStyle="1" w:styleId="Schedule2">
    <w:name w:val="Schedule_2"/>
    <w:basedOn w:val="Normal"/>
    <w:next w:val="IndentParaLevel1"/>
    <w:rsid w:val="00504069"/>
    <w:pPr>
      <w:keepNext/>
      <w:numPr>
        <w:ilvl w:val="2"/>
        <w:numId w:val="23"/>
      </w:numPr>
      <w:outlineLvl w:val="1"/>
    </w:pPr>
    <w:rPr>
      <w:b/>
      <w:sz w:val="24"/>
    </w:rPr>
  </w:style>
  <w:style w:type="paragraph" w:customStyle="1" w:styleId="Schedule3">
    <w:name w:val="Schedule_3"/>
    <w:basedOn w:val="Normal"/>
    <w:rsid w:val="00504069"/>
    <w:pPr>
      <w:numPr>
        <w:ilvl w:val="3"/>
        <w:numId w:val="23"/>
      </w:numPr>
      <w:outlineLvl w:val="2"/>
    </w:pPr>
  </w:style>
  <w:style w:type="paragraph" w:customStyle="1" w:styleId="Schedule4">
    <w:name w:val="Schedule_4"/>
    <w:basedOn w:val="Normal"/>
    <w:rsid w:val="00504069"/>
    <w:pPr>
      <w:numPr>
        <w:ilvl w:val="4"/>
        <w:numId w:val="23"/>
      </w:numPr>
      <w:outlineLvl w:val="3"/>
    </w:pPr>
  </w:style>
  <w:style w:type="paragraph" w:customStyle="1" w:styleId="Schedule5">
    <w:name w:val="Schedule_5"/>
    <w:basedOn w:val="Normal"/>
    <w:rsid w:val="00504069"/>
    <w:pPr>
      <w:numPr>
        <w:ilvl w:val="5"/>
        <w:numId w:val="23"/>
      </w:numPr>
      <w:outlineLvl w:val="5"/>
    </w:pPr>
  </w:style>
  <w:style w:type="paragraph" w:customStyle="1" w:styleId="Schedule6">
    <w:name w:val="Schedule_6"/>
    <w:basedOn w:val="Normal"/>
    <w:rsid w:val="00504069"/>
    <w:pPr>
      <w:numPr>
        <w:ilvl w:val="6"/>
        <w:numId w:val="23"/>
      </w:numPr>
      <w:outlineLvl w:val="6"/>
    </w:pPr>
  </w:style>
  <w:style w:type="paragraph" w:customStyle="1" w:styleId="Schedule7">
    <w:name w:val="Schedule_7"/>
    <w:basedOn w:val="Normal"/>
    <w:rsid w:val="00504069"/>
    <w:pPr>
      <w:numPr>
        <w:ilvl w:val="7"/>
        <w:numId w:val="23"/>
      </w:numPr>
      <w:outlineLvl w:val="7"/>
    </w:pPr>
  </w:style>
  <w:style w:type="paragraph" w:customStyle="1" w:styleId="Schedule8">
    <w:name w:val="Schedule_8"/>
    <w:basedOn w:val="Normal"/>
    <w:rsid w:val="00504069"/>
    <w:pPr>
      <w:numPr>
        <w:ilvl w:val="8"/>
        <w:numId w:val="23"/>
      </w:numPr>
      <w:outlineLvl w:val="8"/>
    </w:pPr>
  </w:style>
  <w:style w:type="paragraph" w:styleId="Subtitle">
    <w:name w:val="Subtitle"/>
    <w:basedOn w:val="Normal"/>
    <w:link w:val="SubtitleChar"/>
    <w:qFormat/>
    <w:rsid w:val="00504069"/>
    <w:pPr>
      <w:keepNext/>
    </w:pPr>
    <w:rPr>
      <w:rFonts w:cs="Arial"/>
      <w:b/>
      <w:sz w:val="24"/>
    </w:rPr>
  </w:style>
  <w:style w:type="paragraph" w:customStyle="1" w:styleId="PIPNormal">
    <w:name w:val="PIP_Normal"/>
    <w:rsid w:val="00504069"/>
    <w:pPr>
      <w:spacing w:after="240"/>
    </w:pPr>
    <w:rPr>
      <w:rFonts w:ascii="Arial" w:hAnsi="Arial"/>
      <w:szCs w:val="24"/>
      <w:lang w:eastAsia="en-US"/>
    </w:rPr>
  </w:style>
  <w:style w:type="paragraph" w:customStyle="1" w:styleId="TableText">
    <w:name w:val="TableText"/>
    <w:basedOn w:val="Normal"/>
    <w:rsid w:val="00504069"/>
    <w:pPr>
      <w:spacing w:after="0"/>
    </w:pPr>
  </w:style>
  <w:style w:type="paragraph" w:styleId="Title">
    <w:name w:val="Title"/>
    <w:basedOn w:val="Normal"/>
    <w:link w:val="TitleChar"/>
    <w:qFormat/>
    <w:rsid w:val="00504069"/>
    <w:pPr>
      <w:keepNext/>
    </w:pPr>
    <w:rPr>
      <w:rFonts w:cs="Arial"/>
      <w:b/>
      <w:bCs/>
      <w:sz w:val="28"/>
      <w:szCs w:val="32"/>
    </w:rPr>
  </w:style>
  <w:style w:type="paragraph" w:customStyle="1" w:styleId="TitleArial">
    <w:name w:val="Title_Arial"/>
    <w:next w:val="Normal"/>
    <w:rsid w:val="00504069"/>
    <w:rPr>
      <w:rFonts w:ascii="Arial" w:hAnsi="Arial" w:cs="Arial"/>
      <w:bCs/>
      <w:sz w:val="44"/>
      <w:szCs w:val="44"/>
      <w:lang w:eastAsia="en-US"/>
    </w:rPr>
  </w:style>
  <w:style w:type="paragraph" w:styleId="TOC1">
    <w:name w:val="toc 1"/>
    <w:basedOn w:val="Normal"/>
    <w:next w:val="Normal"/>
    <w:uiPriority w:val="39"/>
    <w:rsid w:val="00504069"/>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504069"/>
    <w:pPr>
      <w:tabs>
        <w:tab w:val="left" w:pos="1928"/>
        <w:tab w:val="right" w:leader="dot" w:pos="9356"/>
      </w:tabs>
      <w:spacing w:after="0"/>
      <w:ind w:left="1928" w:right="1134" w:hanging="964"/>
    </w:pPr>
  </w:style>
  <w:style w:type="paragraph" w:styleId="TOC3">
    <w:name w:val="toc 3"/>
    <w:basedOn w:val="Normal"/>
    <w:next w:val="Normal"/>
    <w:autoRedefine/>
    <w:semiHidden/>
    <w:rsid w:val="00504069"/>
    <w:pPr>
      <w:ind w:left="440"/>
    </w:pPr>
  </w:style>
  <w:style w:type="paragraph" w:styleId="TOC4">
    <w:name w:val="toc 4"/>
    <w:basedOn w:val="Normal"/>
    <w:next w:val="Normal"/>
    <w:autoRedefine/>
    <w:semiHidden/>
    <w:rsid w:val="00504069"/>
    <w:pPr>
      <w:ind w:left="660"/>
    </w:pPr>
  </w:style>
  <w:style w:type="paragraph" w:styleId="TOC5">
    <w:name w:val="toc 5"/>
    <w:basedOn w:val="Normal"/>
    <w:next w:val="Normal"/>
    <w:autoRedefine/>
    <w:semiHidden/>
    <w:rsid w:val="00504069"/>
    <w:pPr>
      <w:ind w:left="880"/>
    </w:pPr>
  </w:style>
  <w:style w:type="paragraph" w:styleId="TOC6">
    <w:name w:val="toc 6"/>
    <w:basedOn w:val="Normal"/>
    <w:next w:val="Normal"/>
    <w:autoRedefine/>
    <w:semiHidden/>
    <w:rsid w:val="00504069"/>
    <w:pPr>
      <w:ind w:left="1100"/>
    </w:pPr>
  </w:style>
  <w:style w:type="paragraph" w:styleId="TOC7">
    <w:name w:val="toc 7"/>
    <w:basedOn w:val="Normal"/>
    <w:next w:val="Normal"/>
    <w:autoRedefine/>
    <w:semiHidden/>
    <w:rsid w:val="00504069"/>
    <w:pPr>
      <w:ind w:left="1320"/>
    </w:pPr>
  </w:style>
  <w:style w:type="paragraph" w:styleId="TOC8">
    <w:name w:val="toc 8"/>
    <w:basedOn w:val="Normal"/>
    <w:next w:val="Normal"/>
    <w:autoRedefine/>
    <w:semiHidden/>
    <w:rsid w:val="00504069"/>
    <w:pPr>
      <w:ind w:left="1540"/>
    </w:pPr>
  </w:style>
  <w:style w:type="paragraph" w:styleId="TOC9">
    <w:name w:val="toc 9"/>
    <w:basedOn w:val="Normal"/>
    <w:next w:val="Normal"/>
    <w:semiHidden/>
    <w:rsid w:val="00504069"/>
    <w:pPr>
      <w:ind w:left="1758"/>
    </w:pPr>
  </w:style>
  <w:style w:type="paragraph" w:customStyle="1" w:styleId="TOCHeader">
    <w:name w:val="TOCHeader"/>
    <w:basedOn w:val="Normal"/>
    <w:rsid w:val="00504069"/>
    <w:pPr>
      <w:keepNext/>
    </w:pPr>
    <w:rPr>
      <w:b/>
      <w:sz w:val="24"/>
    </w:rPr>
  </w:style>
  <w:style w:type="paragraph" w:customStyle="1" w:styleId="PIPTitle">
    <w:name w:val="PIP_Title"/>
    <w:basedOn w:val="PIPSubtitle"/>
    <w:rsid w:val="00504069"/>
    <w:pPr>
      <w:jc w:val="center"/>
    </w:pPr>
    <w:rPr>
      <w:sz w:val="28"/>
    </w:rPr>
  </w:style>
  <w:style w:type="paragraph" w:customStyle="1" w:styleId="PIPSubtitle">
    <w:name w:val="PIP_Subtitle"/>
    <w:basedOn w:val="PIPNormal"/>
    <w:next w:val="PIPNormal"/>
    <w:rsid w:val="00504069"/>
    <w:pPr>
      <w:keepNext/>
    </w:pPr>
    <w:rPr>
      <w:rFonts w:cs="Arial"/>
      <w:b/>
      <w:sz w:val="24"/>
    </w:rPr>
  </w:style>
  <w:style w:type="paragraph" w:customStyle="1" w:styleId="PIPWarning">
    <w:name w:val="PIP_Warning"/>
    <w:basedOn w:val="PIPNormal"/>
    <w:rsid w:val="00504069"/>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504069"/>
    <w:rPr>
      <w:bCs w:val="0"/>
      <w:sz w:val="28"/>
      <w:szCs w:val="28"/>
    </w:rPr>
  </w:style>
  <w:style w:type="paragraph" w:customStyle="1" w:styleId="PIPMinorSubtitle">
    <w:name w:val="PIP_Minor_Subtitle"/>
    <w:basedOn w:val="PIPSubtitle"/>
    <w:rsid w:val="00504069"/>
    <w:rPr>
      <w:sz w:val="20"/>
      <w:szCs w:val="20"/>
    </w:rPr>
  </w:style>
  <w:style w:type="paragraph" w:customStyle="1" w:styleId="PIPBullet">
    <w:name w:val="PIP_Bullet"/>
    <w:basedOn w:val="PIPNormal"/>
    <w:rsid w:val="00504069"/>
    <w:pPr>
      <w:numPr>
        <w:numId w:val="5"/>
      </w:numPr>
    </w:pPr>
  </w:style>
  <w:style w:type="paragraph" w:customStyle="1" w:styleId="PIPBullet2">
    <w:name w:val="PIP_Bullet2"/>
    <w:basedOn w:val="PIPBullet"/>
    <w:rsid w:val="00504069"/>
    <w:pPr>
      <w:numPr>
        <w:numId w:val="6"/>
      </w:numPr>
    </w:pPr>
  </w:style>
  <w:style w:type="paragraph" w:customStyle="1" w:styleId="PIPNumber1">
    <w:name w:val="PIP_Number1"/>
    <w:basedOn w:val="PIPNormal"/>
    <w:rsid w:val="00504069"/>
    <w:pPr>
      <w:numPr>
        <w:numId w:val="30"/>
      </w:numPr>
    </w:pPr>
  </w:style>
  <w:style w:type="paragraph" w:customStyle="1" w:styleId="PIPNumber2">
    <w:name w:val="PIP_Number2"/>
    <w:basedOn w:val="PIPNormal"/>
    <w:rsid w:val="00504069"/>
    <w:pPr>
      <w:numPr>
        <w:ilvl w:val="1"/>
        <w:numId w:val="30"/>
      </w:numPr>
    </w:pPr>
  </w:style>
  <w:style w:type="paragraph" w:customStyle="1" w:styleId="PIPNumber3">
    <w:name w:val="PIP_Number3"/>
    <w:basedOn w:val="PIPNormal"/>
    <w:rsid w:val="00504069"/>
    <w:pPr>
      <w:numPr>
        <w:ilvl w:val="2"/>
        <w:numId w:val="30"/>
      </w:numPr>
    </w:pPr>
  </w:style>
  <w:style w:type="paragraph" w:customStyle="1" w:styleId="SubTitleArial">
    <w:name w:val="SubTitle_Arial"/>
    <w:next w:val="Normal"/>
    <w:rsid w:val="00504069"/>
    <w:pPr>
      <w:keepNext/>
      <w:spacing w:before="220"/>
    </w:pPr>
    <w:rPr>
      <w:rFonts w:ascii="Arial" w:hAnsi="Arial" w:cs="Arial"/>
      <w:color w:val="000000"/>
      <w:sz w:val="28"/>
      <w:szCs w:val="28"/>
      <w:lang w:eastAsia="en-US"/>
    </w:rPr>
  </w:style>
  <w:style w:type="paragraph" w:customStyle="1" w:styleId="MiniTitleArial">
    <w:name w:val="Mini_Title_Arial"/>
    <w:basedOn w:val="Normal"/>
    <w:rsid w:val="00504069"/>
    <w:pPr>
      <w:spacing w:after="120"/>
    </w:pPr>
    <w:rPr>
      <w:szCs w:val="20"/>
    </w:rPr>
  </w:style>
  <w:style w:type="paragraph" w:customStyle="1" w:styleId="Background">
    <w:name w:val="Background"/>
    <w:basedOn w:val="Normal"/>
    <w:rsid w:val="00504069"/>
    <w:pPr>
      <w:numPr>
        <w:numId w:val="13"/>
      </w:numPr>
    </w:pPr>
  </w:style>
  <w:style w:type="paragraph" w:customStyle="1" w:styleId="ItemNumbering">
    <w:name w:val="Item Numbering"/>
    <w:basedOn w:val="Normal"/>
    <w:next w:val="IndentParaLevel2"/>
    <w:rsid w:val="00504069"/>
    <w:pPr>
      <w:keepNext/>
      <w:numPr>
        <w:numId w:val="10"/>
      </w:numPr>
    </w:pPr>
    <w:rPr>
      <w:b/>
      <w:lang w:val="en-US"/>
    </w:rPr>
  </w:style>
  <w:style w:type="character" w:styleId="FollowedHyperlink">
    <w:name w:val="FollowedHyperlink"/>
    <w:rsid w:val="003966CD"/>
    <w:rPr>
      <w:color w:val="800080"/>
      <w:u w:val="single"/>
    </w:rPr>
  </w:style>
  <w:style w:type="paragraph" w:styleId="BalloonText">
    <w:name w:val="Balloon Text"/>
    <w:basedOn w:val="Normal"/>
    <w:semiHidden/>
    <w:rsid w:val="00687778"/>
    <w:rPr>
      <w:rFonts w:ascii="Tahoma" w:hAnsi="Tahoma" w:cs="Tahoma"/>
      <w:sz w:val="16"/>
      <w:szCs w:val="16"/>
    </w:rPr>
  </w:style>
  <w:style w:type="character" w:customStyle="1" w:styleId="AltOptFN">
    <w:name w:val="AltOptFN"/>
    <w:rsid w:val="00504069"/>
    <w:rPr>
      <w:rFonts w:ascii="Arial" w:hAnsi="Arial"/>
      <w:color w:val="0000FF"/>
      <w:sz w:val="22"/>
      <w:bdr w:val="single" w:sz="4" w:space="0" w:color="0000FF"/>
      <w:shd w:val="clear" w:color="auto" w:fill="E6E6E6"/>
      <w:vertAlign w:val="superscript"/>
    </w:rPr>
  </w:style>
  <w:style w:type="numbering" w:customStyle="1" w:styleId="CUNumbering">
    <w:name w:val="CUNumbering"/>
    <w:rsid w:val="00504069"/>
    <w:pPr>
      <w:numPr>
        <w:numId w:val="14"/>
      </w:numPr>
    </w:pPr>
  </w:style>
  <w:style w:type="table" w:styleId="TableGrid">
    <w:name w:val="Table Grid"/>
    <w:basedOn w:val="TableNormal"/>
    <w:rsid w:val="00504069"/>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finitions">
    <w:name w:val="Definitions"/>
    <w:rsid w:val="00504069"/>
    <w:pPr>
      <w:numPr>
        <w:numId w:val="15"/>
      </w:numPr>
    </w:pPr>
  </w:style>
  <w:style w:type="numbering" w:customStyle="1" w:styleId="Headings">
    <w:name w:val="Headings"/>
    <w:uiPriority w:val="99"/>
    <w:rsid w:val="00504069"/>
    <w:pPr>
      <w:numPr>
        <w:numId w:val="16"/>
      </w:numPr>
    </w:pPr>
  </w:style>
  <w:style w:type="numbering" w:customStyle="1" w:styleId="Schedules">
    <w:name w:val="Schedules"/>
    <w:uiPriority w:val="99"/>
    <w:rsid w:val="00504069"/>
    <w:pPr>
      <w:numPr>
        <w:numId w:val="17"/>
      </w:numPr>
    </w:pPr>
  </w:style>
  <w:style w:type="paragraph" w:customStyle="1" w:styleId="DocumentName">
    <w:name w:val="DocumentName"/>
    <w:basedOn w:val="Subtitle"/>
    <w:next w:val="Normal"/>
    <w:qFormat/>
    <w:rsid w:val="00504069"/>
    <w:pPr>
      <w:pBdr>
        <w:bottom w:val="single" w:sz="12" w:space="1" w:color="auto"/>
      </w:pBdr>
      <w:spacing w:after="480"/>
    </w:pPr>
    <w:rPr>
      <w:sz w:val="32"/>
    </w:rPr>
  </w:style>
  <w:style w:type="paragraph" w:customStyle="1" w:styleId="DeedTitle">
    <w:name w:val="DeedTitle"/>
    <w:qFormat/>
    <w:rsid w:val="001E6EB9"/>
    <w:pPr>
      <w:spacing w:before="660" w:after="1320"/>
    </w:pPr>
    <w:rPr>
      <w:rFonts w:ascii="Arial" w:hAnsi="Arial" w:cs="Arial"/>
      <w:bCs/>
      <w:sz w:val="56"/>
      <w:szCs w:val="44"/>
      <w:lang w:eastAsia="en-US"/>
    </w:rPr>
  </w:style>
  <w:style w:type="numbering" w:customStyle="1" w:styleId="Annexures">
    <w:name w:val="Annexures"/>
    <w:uiPriority w:val="99"/>
    <w:rsid w:val="00504069"/>
    <w:pPr>
      <w:numPr>
        <w:numId w:val="20"/>
      </w:numPr>
    </w:pPr>
  </w:style>
  <w:style w:type="numbering" w:customStyle="1" w:styleId="Attachments">
    <w:name w:val="Attachments"/>
    <w:uiPriority w:val="99"/>
    <w:rsid w:val="00504069"/>
    <w:pPr>
      <w:numPr>
        <w:numId w:val="21"/>
      </w:numPr>
    </w:pPr>
  </w:style>
  <w:style w:type="numbering" w:customStyle="1" w:styleId="Exhibits">
    <w:name w:val="Exhibits"/>
    <w:uiPriority w:val="99"/>
    <w:rsid w:val="00504069"/>
    <w:pPr>
      <w:numPr>
        <w:numId w:val="22"/>
      </w:numPr>
    </w:pPr>
  </w:style>
  <w:style w:type="paragraph" w:customStyle="1" w:styleId="MinorTitleArial">
    <w:name w:val="Minor_Title_Arial"/>
    <w:next w:val="Normal"/>
    <w:rsid w:val="00504069"/>
    <w:rPr>
      <w:rFonts w:ascii="Arial" w:hAnsi="Arial" w:cs="Arial"/>
      <w:color w:val="000000"/>
      <w:sz w:val="18"/>
      <w:szCs w:val="18"/>
      <w:lang w:eastAsia="en-US"/>
    </w:rPr>
  </w:style>
  <w:style w:type="paragraph" w:styleId="ListParagraph">
    <w:name w:val="List Paragraph"/>
    <w:basedOn w:val="Normal"/>
    <w:uiPriority w:val="34"/>
    <w:qFormat/>
    <w:rsid w:val="00504069"/>
    <w:pPr>
      <w:ind w:left="720"/>
      <w:contextualSpacing/>
    </w:pPr>
  </w:style>
  <w:style w:type="paragraph" w:customStyle="1" w:styleId="PIPInstructions">
    <w:name w:val="PIP_Instructions"/>
    <w:basedOn w:val="PIPNormal"/>
    <w:qFormat/>
    <w:rsid w:val="00ED16A7"/>
    <w:pPr>
      <w:spacing w:before="80" w:after="80"/>
    </w:pPr>
    <w:rPr>
      <w:sz w:val="18"/>
    </w:rPr>
  </w:style>
  <w:style w:type="paragraph" w:styleId="BodyText">
    <w:name w:val="Body Text"/>
    <w:basedOn w:val="Normal"/>
    <w:link w:val="BodyTextChar"/>
    <w:qFormat/>
    <w:rsid w:val="005D255C"/>
    <w:pPr>
      <w:spacing w:before="100" w:after="100" w:line="264" w:lineRule="auto"/>
    </w:pPr>
    <w:rPr>
      <w:rFonts w:eastAsiaTheme="minorHAnsi" w:cstheme="minorBidi"/>
      <w:szCs w:val="22"/>
    </w:rPr>
  </w:style>
  <w:style w:type="character" w:customStyle="1" w:styleId="BodyTextChar">
    <w:name w:val="Body Text Char"/>
    <w:basedOn w:val="DefaultParagraphFont"/>
    <w:link w:val="BodyText"/>
    <w:rsid w:val="005D255C"/>
    <w:rPr>
      <w:rFonts w:ascii="Arial" w:eastAsiaTheme="minorHAnsi" w:hAnsi="Arial" w:cstheme="minorBidi"/>
      <w:szCs w:val="22"/>
      <w:lang w:eastAsia="en-US"/>
    </w:rPr>
  </w:style>
  <w:style w:type="character" w:customStyle="1" w:styleId="TitleChar">
    <w:name w:val="Title Char"/>
    <w:basedOn w:val="DefaultParagraphFont"/>
    <w:link w:val="Title"/>
    <w:rsid w:val="005D255C"/>
    <w:rPr>
      <w:rFonts w:ascii="Arial" w:hAnsi="Arial" w:cs="Arial"/>
      <w:b/>
      <w:bCs/>
      <w:sz w:val="28"/>
      <w:szCs w:val="32"/>
      <w:lang w:eastAsia="en-US"/>
    </w:rPr>
  </w:style>
  <w:style w:type="character" w:customStyle="1" w:styleId="SubtitleChar">
    <w:name w:val="Subtitle Char"/>
    <w:basedOn w:val="DefaultParagraphFont"/>
    <w:link w:val="Subtitle"/>
    <w:rsid w:val="005D255C"/>
    <w:rPr>
      <w:rFonts w:ascii="Arial" w:hAnsi="Arial" w:cs="Arial"/>
      <w:b/>
      <w:sz w:val="24"/>
      <w:szCs w:val="24"/>
      <w:lang w:eastAsia="en-US"/>
    </w:rPr>
  </w:style>
  <w:style w:type="paragraph" w:customStyle="1" w:styleId="CoverDetails">
    <w:name w:val="Cover Details"/>
    <w:basedOn w:val="Normal"/>
    <w:uiPriority w:val="99"/>
    <w:semiHidden/>
    <w:qFormat/>
    <w:rsid w:val="005D255C"/>
    <w:pPr>
      <w:spacing w:after="0"/>
      <w:jc w:val="right"/>
    </w:pPr>
    <w:rPr>
      <w:rFonts w:eastAsiaTheme="minorHAnsi" w:cstheme="minorBidi"/>
      <w:color w:val="002B5A"/>
      <w:sz w:val="24"/>
      <w:szCs w:val="22"/>
    </w:rPr>
  </w:style>
  <w:style w:type="paragraph" w:customStyle="1" w:styleId="DisclaimerHeading">
    <w:name w:val="Disclaimer Heading"/>
    <w:basedOn w:val="Normal"/>
    <w:rsid w:val="005D255C"/>
    <w:pPr>
      <w:autoSpaceDE w:val="0"/>
      <w:autoSpaceDN w:val="0"/>
      <w:adjustRightInd w:val="0"/>
      <w:spacing w:before="240" w:after="120"/>
    </w:pPr>
    <w:rPr>
      <w:rFonts w:eastAsiaTheme="minorHAnsi" w:cs="Arial-BoldMT"/>
      <w:b/>
      <w:bCs/>
      <w:color w:val="002B5A"/>
      <w:sz w:val="28"/>
      <w:szCs w:val="28"/>
    </w:rPr>
  </w:style>
  <w:style w:type="character" w:customStyle="1" w:styleId="HeaderChar">
    <w:name w:val="Header Char"/>
    <w:basedOn w:val="DefaultParagraphFont"/>
    <w:link w:val="Header"/>
    <w:uiPriority w:val="99"/>
    <w:rsid w:val="005D255C"/>
    <w:rPr>
      <w:rFonts w:ascii="Arial" w:hAnsi="Arial"/>
      <w:snapToGrid w:val="0"/>
      <w:lang w:eastAsia="en-US"/>
    </w:rPr>
  </w:style>
  <w:style w:type="character" w:customStyle="1" w:styleId="FootnoteTextChar">
    <w:name w:val="Footnote Text Char"/>
    <w:basedOn w:val="DefaultParagraphFont"/>
    <w:link w:val="FootnoteText"/>
    <w:rsid w:val="00BC29F4"/>
    <w:rPr>
      <w:rFonts w:ascii="Arial" w:hAnsi="Arial"/>
      <w:color w:val="0000FF"/>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084679">
      <w:bodyDiv w:val="1"/>
      <w:marLeft w:val="0"/>
      <w:marRight w:val="0"/>
      <w:marTop w:val="0"/>
      <w:marBottom w:val="0"/>
      <w:divBdr>
        <w:top w:val="none" w:sz="0" w:space="0" w:color="auto"/>
        <w:left w:val="none" w:sz="0" w:space="0" w:color="auto"/>
        <w:bottom w:val="none" w:sz="0" w:space="0" w:color="auto"/>
        <w:right w:val="none" w:sz="0" w:space="0" w:color="auto"/>
      </w:divBdr>
    </w:div>
    <w:div w:id="124591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cedent%20Templates\Corpid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11776-0C78-416B-9882-B857C8DA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Corpidd</Template>
  <TotalTime>2</TotalTime>
  <Pages>10</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18270</CharactersWithSpaces>
  <SharedDoc>false</SharedDoc>
  <HLinks>
    <vt:vector size="396" baseType="variant">
      <vt:variant>
        <vt:i4>1048633</vt:i4>
      </vt:variant>
      <vt:variant>
        <vt:i4>377</vt:i4>
      </vt:variant>
      <vt:variant>
        <vt:i4>0</vt:i4>
      </vt:variant>
      <vt:variant>
        <vt:i4>5</vt:i4>
      </vt:variant>
      <vt:variant>
        <vt:lpwstr/>
      </vt:variant>
      <vt:variant>
        <vt:lpwstr>_Toc350325843</vt:lpwstr>
      </vt:variant>
      <vt:variant>
        <vt:i4>1048633</vt:i4>
      </vt:variant>
      <vt:variant>
        <vt:i4>371</vt:i4>
      </vt:variant>
      <vt:variant>
        <vt:i4>0</vt:i4>
      </vt:variant>
      <vt:variant>
        <vt:i4>5</vt:i4>
      </vt:variant>
      <vt:variant>
        <vt:lpwstr/>
      </vt:variant>
      <vt:variant>
        <vt:lpwstr>_Toc350325842</vt:lpwstr>
      </vt:variant>
      <vt:variant>
        <vt:i4>1048633</vt:i4>
      </vt:variant>
      <vt:variant>
        <vt:i4>365</vt:i4>
      </vt:variant>
      <vt:variant>
        <vt:i4>0</vt:i4>
      </vt:variant>
      <vt:variant>
        <vt:i4>5</vt:i4>
      </vt:variant>
      <vt:variant>
        <vt:lpwstr/>
      </vt:variant>
      <vt:variant>
        <vt:lpwstr>_Toc350325841</vt:lpwstr>
      </vt:variant>
      <vt:variant>
        <vt:i4>1048633</vt:i4>
      </vt:variant>
      <vt:variant>
        <vt:i4>359</vt:i4>
      </vt:variant>
      <vt:variant>
        <vt:i4>0</vt:i4>
      </vt:variant>
      <vt:variant>
        <vt:i4>5</vt:i4>
      </vt:variant>
      <vt:variant>
        <vt:lpwstr/>
      </vt:variant>
      <vt:variant>
        <vt:lpwstr>_Toc350325840</vt:lpwstr>
      </vt:variant>
      <vt:variant>
        <vt:i4>1507385</vt:i4>
      </vt:variant>
      <vt:variant>
        <vt:i4>353</vt:i4>
      </vt:variant>
      <vt:variant>
        <vt:i4>0</vt:i4>
      </vt:variant>
      <vt:variant>
        <vt:i4>5</vt:i4>
      </vt:variant>
      <vt:variant>
        <vt:lpwstr/>
      </vt:variant>
      <vt:variant>
        <vt:lpwstr>_Toc350325839</vt:lpwstr>
      </vt:variant>
      <vt:variant>
        <vt:i4>1507385</vt:i4>
      </vt:variant>
      <vt:variant>
        <vt:i4>347</vt:i4>
      </vt:variant>
      <vt:variant>
        <vt:i4>0</vt:i4>
      </vt:variant>
      <vt:variant>
        <vt:i4>5</vt:i4>
      </vt:variant>
      <vt:variant>
        <vt:lpwstr/>
      </vt:variant>
      <vt:variant>
        <vt:lpwstr>_Toc350325838</vt:lpwstr>
      </vt:variant>
      <vt:variant>
        <vt:i4>1507385</vt:i4>
      </vt:variant>
      <vt:variant>
        <vt:i4>341</vt:i4>
      </vt:variant>
      <vt:variant>
        <vt:i4>0</vt:i4>
      </vt:variant>
      <vt:variant>
        <vt:i4>5</vt:i4>
      </vt:variant>
      <vt:variant>
        <vt:lpwstr/>
      </vt:variant>
      <vt:variant>
        <vt:lpwstr>_Toc350325837</vt:lpwstr>
      </vt:variant>
      <vt:variant>
        <vt:i4>1507385</vt:i4>
      </vt:variant>
      <vt:variant>
        <vt:i4>335</vt:i4>
      </vt:variant>
      <vt:variant>
        <vt:i4>0</vt:i4>
      </vt:variant>
      <vt:variant>
        <vt:i4>5</vt:i4>
      </vt:variant>
      <vt:variant>
        <vt:lpwstr/>
      </vt:variant>
      <vt:variant>
        <vt:lpwstr>_Toc350325836</vt:lpwstr>
      </vt:variant>
      <vt:variant>
        <vt:i4>1507385</vt:i4>
      </vt:variant>
      <vt:variant>
        <vt:i4>329</vt:i4>
      </vt:variant>
      <vt:variant>
        <vt:i4>0</vt:i4>
      </vt:variant>
      <vt:variant>
        <vt:i4>5</vt:i4>
      </vt:variant>
      <vt:variant>
        <vt:lpwstr/>
      </vt:variant>
      <vt:variant>
        <vt:lpwstr>_Toc350325835</vt:lpwstr>
      </vt:variant>
      <vt:variant>
        <vt:i4>1507385</vt:i4>
      </vt:variant>
      <vt:variant>
        <vt:i4>323</vt:i4>
      </vt:variant>
      <vt:variant>
        <vt:i4>0</vt:i4>
      </vt:variant>
      <vt:variant>
        <vt:i4>5</vt:i4>
      </vt:variant>
      <vt:variant>
        <vt:lpwstr/>
      </vt:variant>
      <vt:variant>
        <vt:lpwstr>_Toc350325834</vt:lpwstr>
      </vt:variant>
      <vt:variant>
        <vt:i4>1507385</vt:i4>
      </vt:variant>
      <vt:variant>
        <vt:i4>317</vt:i4>
      </vt:variant>
      <vt:variant>
        <vt:i4>0</vt:i4>
      </vt:variant>
      <vt:variant>
        <vt:i4>5</vt:i4>
      </vt:variant>
      <vt:variant>
        <vt:lpwstr/>
      </vt:variant>
      <vt:variant>
        <vt:lpwstr>_Toc350325833</vt:lpwstr>
      </vt:variant>
      <vt:variant>
        <vt:i4>1507385</vt:i4>
      </vt:variant>
      <vt:variant>
        <vt:i4>311</vt:i4>
      </vt:variant>
      <vt:variant>
        <vt:i4>0</vt:i4>
      </vt:variant>
      <vt:variant>
        <vt:i4>5</vt:i4>
      </vt:variant>
      <vt:variant>
        <vt:lpwstr/>
      </vt:variant>
      <vt:variant>
        <vt:lpwstr>_Toc350325832</vt:lpwstr>
      </vt:variant>
      <vt:variant>
        <vt:i4>1507385</vt:i4>
      </vt:variant>
      <vt:variant>
        <vt:i4>305</vt:i4>
      </vt:variant>
      <vt:variant>
        <vt:i4>0</vt:i4>
      </vt:variant>
      <vt:variant>
        <vt:i4>5</vt:i4>
      </vt:variant>
      <vt:variant>
        <vt:lpwstr/>
      </vt:variant>
      <vt:variant>
        <vt:lpwstr>_Toc350325831</vt:lpwstr>
      </vt:variant>
      <vt:variant>
        <vt:i4>1507385</vt:i4>
      </vt:variant>
      <vt:variant>
        <vt:i4>299</vt:i4>
      </vt:variant>
      <vt:variant>
        <vt:i4>0</vt:i4>
      </vt:variant>
      <vt:variant>
        <vt:i4>5</vt:i4>
      </vt:variant>
      <vt:variant>
        <vt:lpwstr/>
      </vt:variant>
      <vt:variant>
        <vt:lpwstr>_Toc350325830</vt:lpwstr>
      </vt:variant>
      <vt:variant>
        <vt:i4>1441849</vt:i4>
      </vt:variant>
      <vt:variant>
        <vt:i4>293</vt:i4>
      </vt:variant>
      <vt:variant>
        <vt:i4>0</vt:i4>
      </vt:variant>
      <vt:variant>
        <vt:i4>5</vt:i4>
      </vt:variant>
      <vt:variant>
        <vt:lpwstr/>
      </vt:variant>
      <vt:variant>
        <vt:lpwstr>_Toc350325829</vt:lpwstr>
      </vt:variant>
      <vt:variant>
        <vt:i4>1441849</vt:i4>
      </vt:variant>
      <vt:variant>
        <vt:i4>287</vt:i4>
      </vt:variant>
      <vt:variant>
        <vt:i4>0</vt:i4>
      </vt:variant>
      <vt:variant>
        <vt:i4>5</vt:i4>
      </vt:variant>
      <vt:variant>
        <vt:lpwstr/>
      </vt:variant>
      <vt:variant>
        <vt:lpwstr>_Toc350325828</vt:lpwstr>
      </vt:variant>
      <vt:variant>
        <vt:i4>1441849</vt:i4>
      </vt:variant>
      <vt:variant>
        <vt:i4>281</vt:i4>
      </vt:variant>
      <vt:variant>
        <vt:i4>0</vt:i4>
      </vt:variant>
      <vt:variant>
        <vt:i4>5</vt:i4>
      </vt:variant>
      <vt:variant>
        <vt:lpwstr/>
      </vt:variant>
      <vt:variant>
        <vt:lpwstr>_Toc350325827</vt:lpwstr>
      </vt:variant>
      <vt:variant>
        <vt:i4>1441849</vt:i4>
      </vt:variant>
      <vt:variant>
        <vt:i4>275</vt:i4>
      </vt:variant>
      <vt:variant>
        <vt:i4>0</vt:i4>
      </vt:variant>
      <vt:variant>
        <vt:i4>5</vt:i4>
      </vt:variant>
      <vt:variant>
        <vt:lpwstr/>
      </vt:variant>
      <vt:variant>
        <vt:lpwstr>_Toc350325826</vt:lpwstr>
      </vt:variant>
      <vt:variant>
        <vt:i4>1441849</vt:i4>
      </vt:variant>
      <vt:variant>
        <vt:i4>269</vt:i4>
      </vt:variant>
      <vt:variant>
        <vt:i4>0</vt:i4>
      </vt:variant>
      <vt:variant>
        <vt:i4>5</vt:i4>
      </vt:variant>
      <vt:variant>
        <vt:lpwstr/>
      </vt:variant>
      <vt:variant>
        <vt:lpwstr>_Toc350325825</vt:lpwstr>
      </vt:variant>
      <vt:variant>
        <vt:i4>1441849</vt:i4>
      </vt:variant>
      <vt:variant>
        <vt:i4>263</vt:i4>
      </vt:variant>
      <vt:variant>
        <vt:i4>0</vt:i4>
      </vt:variant>
      <vt:variant>
        <vt:i4>5</vt:i4>
      </vt:variant>
      <vt:variant>
        <vt:lpwstr/>
      </vt:variant>
      <vt:variant>
        <vt:lpwstr>_Toc350325824</vt:lpwstr>
      </vt:variant>
      <vt:variant>
        <vt:i4>1441849</vt:i4>
      </vt:variant>
      <vt:variant>
        <vt:i4>257</vt:i4>
      </vt:variant>
      <vt:variant>
        <vt:i4>0</vt:i4>
      </vt:variant>
      <vt:variant>
        <vt:i4>5</vt:i4>
      </vt:variant>
      <vt:variant>
        <vt:lpwstr/>
      </vt:variant>
      <vt:variant>
        <vt:lpwstr>_Toc350325823</vt:lpwstr>
      </vt:variant>
      <vt:variant>
        <vt:i4>1441849</vt:i4>
      </vt:variant>
      <vt:variant>
        <vt:i4>251</vt:i4>
      </vt:variant>
      <vt:variant>
        <vt:i4>0</vt:i4>
      </vt:variant>
      <vt:variant>
        <vt:i4>5</vt:i4>
      </vt:variant>
      <vt:variant>
        <vt:lpwstr/>
      </vt:variant>
      <vt:variant>
        <vt:lpwstr>_Toc350325822</vt:lpwstr>
      </vt:variant>
      <vt:variant>
        <vt:i4>1441849</vt:i4>
      </vt:variant>
      <vt:variant>
        <vt:i4>245</vt:i4>
      </vt:variant>
      <vt:variant>
        <vt:i4>0</vt:i4>
      </vt:variant>
      <vt:variant>
        <vt:i4>5</vt:i4>
      </vt:variant>
      <vt:variant>
        <vt:lpwstr/>
      </vt:variant>
      <vt:variant>
        <vt:lpwstr>_Toc350325821</vt:lpwstr>
      </vt:variant>
      <vt:variant>
        <vt:i4>1441849</vt:i4>
      </vt:variant>
      <vt:variant>
        <vt:i4>239</vt:i4>
      </vt:variant>
      <vt:variant>
        <vt:i4>0</vt:i4>
      </vt:variant>
      <vt:variant>
        <vt:i4>5</vt:i4>
      </vt:variant>
      <vt:variant>
        <vt:lpwstr/>
      </vt:variant>
      <vt:variant>
        <vt:lpwstr>_Toc350325820</vt:lpwstr>
      </vt:variant>
      <vt:variant>
        <vt:i4>1376313</vt:i4>
      </vt:variant>
      <vt:variant>
        <vt:i4>233</vt:i4>
      </vt:variant>
      <vt:variant>
        <vt:i4>0</vt:i4>
      </vt:variant>
      <vt:variant>
        <vt:i4>5</vt:i4>
      </vt:variant>
      <vt:variant>
        <vt:lpwstr/>
      </vt:variant>
      <vt:variant>
        <vt:lpwstr>_Toc350325819</vt:lpwstr>
      </vt:variant>
      <vt:variant>
        <vt:i4>1376313</vt:i4>
      </vt:variant>
      <vt:variant>
        <vt:i4>227</vt:i4>
      </vt:variant>
      <vt:variant>
        <vt:i4>0</vt:i4>
      </vt:variant>
      <vt:variant>
        <vt:i4>5</vt:i4>
      </vt:variant>
      <vt:variant>
        <vt:lpwstr/>
      </vt:variant>
      <vt:variant>
        <vt:lpwstr>_Toc350325818</vt:lpwstr>
      </vt:variant>
      <vt:variant>
        <vt:i4>1376313</vt:i4>
      </vt:variant>
      <vt:variant>
        <vt:i4>221</vt:i4>
      </vt:variant>
      <vt:variant>
        <vt:i4>0</vt:i4>
      </vt:variant>
      <vt:variant>
        <vt:i4>5</vt:i4>
      </vt:variant>
      <vt:variant>
        <vt:lpwstr/>
      </vt:variant>
      <vt:variant>
        <vt:lpwstr>_Toc350325817</vt:lpwstr>
      </vt:variant>
      <vt:variant>
        <vt:i4>1376313</vt:i4>
      </vt:variant>
      <vt:variant>
        <vt:i4>215</vt:i4>
      </vt:variant>
      <vt:variant>
        <vt:i4>0</vt:i4>
      </vt:variant>
      <vt:variant>
        <vt:i4>5</vt:i4>
      </vt:variant>
      <vt:variant>
        <vt:lpwstr/>
      </vt:variant>
      <vt:variant>
        <vt:lpwstr>_Toc350325816</vt:lpwstr>
      </vt:variant>
      <vt:variant>
        <vt:i4>1376313</vt:i4>
      </vt:variant>
      <vt:variant>
        <vt:i4>209</vt:i4>
      </vt:variant>
      <vt:variant>
        <vt:i4>0</vt:i4>
      </vt:variant>
      <vt:variant>
        <vt:i4>5</vt:i4>
      </vt:variant>
      <vt:variant>
        <vt:lpwstr/>
      </vt:variant>
      <vt:variant>
        <vt:lpwstr>_Toc350325815</vt:lpwstr>
      </vt:variant>
      <vt:variant>
        <vt:i4>1376313</vt:i4>
      </vt:variant>
      <vt:variant>
        <vt:i4>203</vt:i4>
      </vt:variant>
      <vt:variant>
        <vt:i4>0</vt:i4>
      </vt:variant>
      <vt:variant>
        <vt:i4>5</vt:i4>
      </vt:variant>
      <vt:variant>
        <vt:lpwstr/>
      </vt:variant>
      <vt:variant>
        <vt:lpwstr>_Toc350325814</vt:lpwstr>
      </vt:variant>
      <vt:variant>
        <vt:i4>1376313</vt:i4>
      </vt:variant>
      <vt:variant>
        <vt:i4>197</vt:i4>
      </vt:variant>
      <vt:variant>
        <vt:i4>0</vt:i4>
      </vt:variant>
      <vt:variant>
        <vt:i4>5</vt:i4>
      </vt:variant>
      <vt:variant>
        <vt:lpwstr/>
      </vt:variant>
      <vt:variant>
        <vt:lpwstr>_Toc350325813</vt:lpwstr>
      </vt:variant>
      <vt:variant>
        <vt:i4>1376313</vt:i4>
      </vt:variant>
      <vt:variant>
        <vt:i4>191</vt:i4>
      </vt:variant>
      <vt:variant>
        <vt:i4>0</vt:i4>
      </vt:variant>
      <vt:variant>
        <vt:i4>5</vt:i4>
      </vt:variant>
      <vt:variant>
        <vt:lpwstr/>
      </vt:variant>
      <vt:variant>
        <vt:lpwstr>_Toc350325812</vt:lpwstr>
      </vt:variant>
      <vt:variant>
        <vt:i4>1376313</vt:i4>
      </vt:variant>
      <vt:variant>
        <vt:i4>185</vt:i4>
      </vt:variant>
      <vt:variant>
        <vt:i4>0</vt:i4>
      </vt:variant>
      <vt:variant>
        <vt:i4>5</vt:i4>
      </vt:variant>
      <vt:variant>
        <vt:lpwstr/>
      </vt:variant>
      <vt:variant>
        <vt:lpwstr>_Toc350325811</vt:lpwstr>
      </vt:variant>
      <vt:variant>
        <vt:i4>1376313</vt:i4>
      </vt:variant>
      <vt:variant>
        <vt:i4>179</vt:i4>
      </vt:variant>
      <vt:variant>
        <vt:i4>0</vt:i4>
      </vt:variant>
      <vt:variant>
        <vt:i4>5</vt:i4>
      </vt:variant>
      <vt:variant>
        <vt:lpwstr/>
      </vt:variant>
      <vt:variant>
        <vt:lpwstr>_Toc350325810</vt:lpwstr>
      </vt:variant>
      <vt:variant>
        <vt:i4>1310777</vt:i4>
      </vt:variant>
      <vt:variant>
        <vt:i4>173</vt:i4>
      </vt:variant>
      <vt:variant>
        <vt:i4>0</vt:i4>
      </vt:variant>
      <vt:variant>
        <vt:i4>5</vt:i4>
      </vt:variant>
      <vt:variant>
        <vt:lpwstr/>
      </vt:variant>
      <vt:variant>
        <vt:lpwstr>_Toc350325809</vt:lpwstr>
      </vt:variant>
      <vt:variant>
        <vt:i4>1310777</vt:i4>
      </vt:variant>
      <vt:variant>
        <vt:i4>167</vt:i4>
      </vt:variant>
      <vt:variant>
        <vt:i4>0</vt:i4>
      </vt:variant>
      <vt:variant>
        <vt:i4>5</vt:i4>
      </vt:variant>
      <vt:variant>
        <vt:lpwstr/>
      </vt:variant>
      <vt:variant>
        <vt:lpwstr>_Toc350325808</vt:lpwstr>
      </vt:variant>
      <vt:variant>
        <vt:i4>1310777</vt:i4>
      </vt:variant>
      <vt:variant>
        <vt:i4>161</vt:i4>
      </vt:variant>
      <vt:variant>
        <vt:i4>0</vt:i4>
      </vt:variant>
      <vt:variant>
        <vt:i4>5</vt:i4>
      </vt:variant>
      <vt:variant>
        <vt:lpwstr/>
      </vt:variant>
      <vt:variant>
        <vt:lpwstr>_Toc350325807</vt:lpwstr>
      </vt:variant>
      <vt:variant>
        <vt:i4>1310777</vt:i4>
      </vt:variant>
      <vt:variant>
        <vt:i4>155</vt:i4>
      </vt:variant>
      <vt:variant>
        <vt:i4>0</vt:i4>
      </vt:variant>
      <vt:variant>
        <vt:i4>5</vt:i4>
      </vt:variant>
      <vt:variant>
        <vt:lpwstr/>
      </vt:variant>
      <vt:variant>
        <vt:lpwstr>_Toc350325806</vt:lpwstr>
      </vt:variant>
      <vt:variant>
        <vt:i4>1310777</vt:i4>
      </vt:variant>
      <vt:variant>
        <vt:i4>149</vt:i4>
      </vt:variant>
      <vt:variant>
        <vt:i4>0</vt:i4>
      </vt:variant>
      <vt:variant>
        <vt:i4>5</vt:i4>
      </vt:variant>
      <vt:variant>
        <vt:lpwstr/>
      </vt:variant>
      <vt:variant>
        <vt:lpwstr>_Toc350325805</vt:lpwstr>
      </vt:variant>
      <vt:variant>
        <vt:i4>1310777</vt:i4>
      </vt:variant>
      <vt:variant>
        <vt:i4>143</vt:i4>
      </vt:variant>
      <vt:variant>
        <vt:i4>0</vt:i4>
      </vt:variant>
      <vt:variant>
        <vt:i4>5</vt:i4>
      </vt:variant>
      <vt:variant>
        <vt:lpwstr/>
      </vt:variant>
      <vt:variant>
        <vt:lpwstr>_Toc350325804</vt:lpwstr>
      </vt:variant>
      <vt:variant>
        <vt:i4>1310777</vt:i4>
      </vt:variant>
      <vt:variant>
        <vt:i4>137</vt:i4>
      </vt:variant>
      <vt:variant>
        <vt:i4>0</vt:i4>
      </vt:variant>
      <vt:variant>
        <vt:i4>5</vt:i4>
      </vt:variant>
      <vt:variant>
        <vt:lpwstr/>
      </vt:variant>
      <vt:variant>
        <vt:lpwstr>_Toc350325803</vt:lpwstr>
      </vt:variant>
      <vt:variant>
        <vt:i4>1310777</vt:i4>
      </vt:variant>
      <vt:variant>
        <vt:i4>131</vt:i4>
      </vt:variant>
      <vt:variant>
        <vt:i4>0</vt:i4>
      </vt:variant>
      <vt:variant>
        <vt:i4>5</vt:i4>
      </vt:variant>
      <vt:variant>
        <vt:lpwstr/>
      </vt:variant>
      <vt:variant>
        <vt:lpwstr>_Toc350325802</vt:lpwstr>
      </vt:variant>
      <vt:variant>
        <vt:i4>1310777</vt:i4>
      </vt:variant>
      <vt:variant>
        <vt:i4>125</vt:i4>
      </vt:variant>
      <vt:variant>
        <vt:i4>0</vt:i4>
      </vt:variant>
      <vt:variant>
        <vt:i4>5</vt:i4>
      </vt:variant>
      <vt:variant>
        <vt:lpwstr/>
      </vt:variant>
      <vt:variant>
        <vt:lpwstr>_Toc350325801</vt:lpwstr>
      </vt:variant>
      <vt:variant>
        <vt:i4>1310777</vt:i4>
      </vt:variant>
      <vt:variant>
        <vt:i4>119</vt:i4>
      </vt:variant>
      <vt:variant>
        <vt:i4>0</vt:i4>
      </vt:variant>
      <vt:variant>
        <vt:i4>5</vt:i4>
      </vt:variant>
      <vt:variant>
        <vt:lpwstr/>
      </vt:variant>
      <vt:variant>
        <vt:lpwstr>_Toc350325800</vt:lpwstr>
      </vt:variant>
      <vt:variant>
        <vt:i4>1900598</vt:i4>
      </vt:variant>
      <vt:variant>
        <vt:i4>113</vt:i4>
      </vt:variant>
      <vt:variant>
        <vt:i4>0</vt:i4>
      </vt:variant>
      <vt:variant>
        <vt:i4>5</vt:i4>
      </vt:variant>
      <vt:variant>
        <vt:lpwstr/>
      </vt:variant>
      <vt:variant>
        <vt:lpwstr>_Toc350325799</vt:lpwstr>
      </vt:variant>
      <vt:variant>
        <vt:i4>1900598</vt:i4>
      </vt:variant>
      <vt:variant>
        <vt:i4>107</vt:i4>
      </vt:variant>
      <vt:variant>
        <vt:i4>0</vt:i4>
      </vt:variant>
      <vt:variant>
        <vt:i4>5</vt:i4>
      </vt:variant>
      <vt:variant>
        <vt:lpwstr/>
      </vt:variant>
      <vt:variant>
        <vt:lpwstr>_Toc350325798</vt:lpwstr>
      </vt:variant>
      <vt:variant>
        <vt:i4>1900598</vt:i4>
      </vt:variant>
      <vt:variant>
        <vt:i4>101</vt:i4>
      </vt:variant>
      <vt:variant>
        <vt:i4>0</vt:i4>
      </vt:variant>
      <vt:variant>
        <vt:i4>5</vt:i4>
      </vt:variant>
      <vt:variant>
        <vt:lpwstr/>
      </vt:variant>
      <vt:variant>
        <vt:lpwstr>_Toc350325797</vt:lpwstr>
      </vt:variant>
      <vt:variant>
        <vt:i4>1900598</vt:i4>
      </vt:variant>
      <vt:variant>
        <vt:i4>95</vt:i4>
      </vt:variant>
      <vt:variant>
        <vt:i4>0</vt:i4>
      </vt:variant>
      <vt:variant>
        <vt:i4>5</vt:i4>
      </vt:variant>
      <vt:variant>
        <vt:lpwstr/>
      </vt:variant>
      <vt:variant>
        <vt:lpwstr>_Toc350325796</vt:lpwstr>
      </vt:variant>
      <vt:variant>
        <vt:i4>1900598</vt:i4>
      </vt:variant>
      <vt:variant>
        <vt:i4>89</vt:i4>
      </vt:variant>
      <vt:variant>
        <vt:i4>0</vt:i4>
      </vt:variant>
      <vt:variant>
        <vt:i4>5</vt:i4>
      </vt:variant>
      <vt:variant>
        <vt:lpwstr/>
      </vt:variant>
      <vt:variant>
        <vt:lpwstr>_Toc350325795</vt:lpwstr>
      </vt:variant>
      <vt:variant>
        <vt:i4>1900598</vt:i4>
      </vt:variant>
      <vt:variant>
        <vt:i4>83</vt:i4>
      </vt:variant>
      <vt:variant>
        <vt:i4>0</vt:i4>
      </vt:variant>
      <vt:variant>
        <vt:i4>5</vt:i4>
      </vt:variant>
      <vt:variant>
        <vt:lpwstr/>
      </vt:variant>
      <vt:variant>
        <vt:lpwstr>_Toc350325794</vt:lpwstr>
      </vt:variant>
      <vt:variant>
        <vt:i4>1900598</vt:i4>
      </vt:variant>
      <vt:variant>
        <vt:i4>77</vt:i4>
      </vt:variant>
      <vt:variant>
        <vt:i4>0</vt:i4>
      </vt:variant>
      <vt:variant>
        <vt:i4>5</vt:i4>
      </vt:variant>
      <vt:variant>
        <vt:lpwstr/>
      </vt:variant>
      <vt:variant>
        <vt:lpwstr>_Toc350325793</vt:lpwstr>
      </vt:variant>
      <vt:variant>
        <vt:i4>1900598</vt:i4>
      </vt:variant>
      <vt:variant>
        <vt:i4>71</vt:i4>
      </vt:variant>
      <vt:variant>
        <vt:i4>0</vt:i4>
      </vt:variant>
      <vt:variant>
        <vt:i4>5</vt:i4>
      </vt:variant>
      <vt:variant>
        <vt:lpwstr/>
      </vt:variant>
      <vt:variant>
        <vt:lpwstr>_Toc350325792</vt:lpwstr>
      </vt:variant>
      <vt:variant>
        <vt:i4>1900598</vt:i4>
      </vt:variant>
      <vt:variant>
        <vt:i4>65</vt:i4>
      </vt:variant>
      <vt:variant>
        <vt:i4>0</vt:i4>
      </vt:variant>
      <vt:variant>
        <vt:i4>5</vt:i4>
      </vt:variant>
      <vt:variant>
        <vt:lpwstr/>
      </vt:variant>
      <vt:variant>
        <vt:lpwstr>_Toc350325791</vt:lpwstr>
      </vt:variant>
      <vt:variant>
        <vt:i4>1900598</vt:i4>
      </vt:variant>
      <vt:variant>
        <vt:i4>59</vt:i4>
      </vt:variant>
      <vt:variant>
        <vt:i4>0</vt:i4>
      </vt:variant>
      <vt:variant>
        <vt:i4>5</vt:i4>
      </vt:variant>
      <vt:variant>
        <vt:lpwstr/>
      </vt:variant>
      <vt:variant>
        <vt:lpwstr>_Toc350325790</vt:lpwstr>
      </vt:variant>
      <vt:variant>
        <vt:i4>1835062</vt:i4>
      </vt:variant>
      <vt:variant>
        <vt:i4>53</vt:i4>
      </vt:variant>
      <vt:variant>
        <vt:i4>0</vt:i4>
      </vt:variant>
      <vt:variant>
        <vt:i4>5</vt:i4>
      </vt:variant>
      <vt:variant>
        <vt:lpwstr/>
      </vt:variant>
      <vt:variant>
        <vt:lpwstr>_Toc350325789</vt:lpwstr>
      </vt:variant>
      <vt:variant>
        <vt:i4>1835062</vt:i4>
      </vt:variant>
      <vt:variant>
        <vt:i4>47</vt:i4>
      </vt:variant>
      <vt:variant>
        <vt:i4>0</vt:i4>
      </vt:variant>
      <vt:variant>
        <vt:i4>5</vt:i4>
      </vt:variant>
      <vt:variant>
        <vt:lpwstr/>
      </vt:variant>
      <vt:variant>
        <vt:lpwstr>_Toc350325788</vt:lpwstr>
      </vt:variant>
      <vt:variant>
        <vt:i4>1835062</vt:i4>
      </vt:variant>
      <vt:variant>
        <vt:i4>41</vt:i4>
      </vt:variant>
      <vt:variant>
        <vt:i4>0</vt:i4>
      </vt:variant>
      <vt:variant>
        <vt:i4>5</vt:i4>
      </vt:variant>
      <vt:variant>
        <vt:lpwstr/>
      </vt:variant>
      <vt:variant>
        <vt:lpwstr>_Toc350325787</vt:lpwstr>
      </vt:variant>
      <vt:variant>
        <vt:i4>1245306</vt:i4>
      </vt:variant>
      <vt:variant>
        <vt:i4>30</vt:i4>
      </vt:variant>
      <vt:variant>
        <vt:i4>0</vt:i4>
      </vt:variant>
      <vt:variant>
        <vt:i4>5</vt:i4>
      </vt:variant>
      <vt:variant>
        <vt:lpwstr>mailto:aplatt-hepworth@claytonutz.com</vt:lpwstr>
      </vt:variant>
      <vt:variant>
        <vt:lpwstr/>
      </vt:variant>
      <vt:variant>
        <vt:i4>2686988</vt:i4>
      </vt:variant>
      <vt:variant>
        <vt:i4>27</vt:i4>
      </vt:variant>
      <vt:variant>
        <vt:i4>0</vt:i4>
      </vt:variant>
      <vt:variant>
        <vt:i4>5</vt:i4>
      </vt:variant>
      <vt:variant>
        <vt:lpwstr>mailto:sbart@claytonutz.com</vt:lpwstr>
      </vt:variant>
      <vt:variant>
        <vt:lpwstr/>
      </vt:variant>
      <vt:variant>
        <vt:i4>6684739</vt:i4>
      </vt:variant>
      <vt:variant>
        <vt:i4>15</vt:i4>
      </vt:variant>
      <vt:variant>
        <vt:i4>0</vt:i4>
      </vt:variant>
      <vt:variant>
        <vt:i4>5</vt:i4>
      </vt:variant>
      <vt:variant>
        <vt:lpwstr>cudocs:\\knowledge\100046807</vt:lpwstr>
      </vt:variant>
      <vt:variant>
        <vt:lpwstr/>
      </vt:variant>
      <vt:variant>
        <vt:i4>6750273</vt:i4>
      </vt:variant>
      <vt:variant>
        <vt:i4>12</vt:i4>
      </vt:variant>
      <vt:variant>
        <vt:i4>0</vt:i4>
      </vt:variant>
      <vt:variant>
        <vt:i4>5</vt:i4>
      </vt:variant>
      <vt:variant>
        <vt:lpwstr>cudocs:\\Knowledge\100092261</vt:lpwstr>
      </vt:variant>
      <vt:variant>
        <vt:lpwstr/>
      </vt:variant>
      <vt:variant>
        <vt:i4>6684737</vt:i4>
      </vt:variant>
      <vt:variant>
        <vt:i4>9</vt:i4>
      </vt:variant>
      <vt:variant>
        <vt:i4>0</vt:i4>
      </vt:variant>
      <vt:variant>
        <vt:i4>5</vt:i4>
      </vt:variant>
      <vt:variant>
        <vt:lpwstr>cudocs:\\Knowledge\100092260</vt:lpwstr>
      </vt:variant>
      <vt:variant>
        <vt:lpwstr/>
      </vt:variant>
      <vt:variant>
        <vt:i4>7274570</vt:i4>
      </vt:variant>
      <vt:variant>
        <vt:i4>6</vt:i4>
      </vt:variant>
      <vt:variant>
        <vt:i4>0</vt:i4>
      </vt:variant>
      <vt:variant>
        <vt:i4>5</vt:i4>
      </vt:variant>
      <vt:variant>
        <vt:lpwstr>cudocs:\\knowledge\100047086</vt:lpwstr>
      </vt:variant>
      <vt:variant>
        <vt:lpwstr/>
      </vt:variant>
      <vt:variant>
        <vt:i4>1704006</vt:i4>
      </vt:variant>
      <vt:variant>
        <vt:i4>3</vt:i4>
      </vt:variant>
      <vt:variant>
        <vt:i4>0</vt:i4>
      </vt:variant>
      <vt:variant>
        <vt:i4>5</vt:i4>
      </vt:variant>
      <vt:variant>
        <vt:lpwstr>cudocs://knowledge/100046858</vt:lpwstr>
      </vt:variant>
      <vt:variant>
        <vt:lpwstr/>
      </vt:variant>
      <vt:variant>
        <vt:i4>1769542</vt:i4>
      </vt:variant>
      <vt:variant>
        <vt:i4>0</vt:i4>
      </vt:variant>
      <vt:variant>
        <vt:i4>0</vt:i4>
      </vt:variant>
      <vt:variant>
        <vt:i4>5</vt:i4>
      </vt:variant>
      <vt:variant>
        <vt:lpwstr>cudocs://knowledge/100046859</vt:lpwstr>
      </vt:variant>
      <vt:variant>
        <vt:lpwstr/>
      </vt:variant>
      <vt:variant>
        <vt:i4>3801179</vt:i4>
      </vt:variant>
      <vt:variant>
        <vt:i4>15</vt:i4>
      </vt:variant>
      <vt:variant>
        <vt:i4>0</vt:i4>
      </vt:variant>
      <vt:variant>
        <vt:i4>5</vt:i4>
      </vt:variant>
      <vt:variant>
        <vt:lpwstr>mailto:generalcounsel@company.com.au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Utz</dc:creator>
  <cp:lastModifiedBy>Bravura Solutions</cp:lastModifiedBy>
  <cp:revision>5</cp:revision>
  <cp:lastPrinted>2012-03-14T04:14:00Z</cp:lastPrinted>
  <dcterms:created xsi:type="dcterms:W3CDTF">2019-09-27T06:17:00Z</dcterms:created>
  <dcterms:modified xsi:type="dcterms:W3CDTF">2019-09-27T06:18:00Z</dcterms:modified>
</cp:coreProperties>
</file>